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22C8D" w14:textId="58E6A816" w:rsidR="005C341F" w:rsidRDefault="00000000">
      <w:pPr>
        <w:spacing w:after="0" w:line="240" w:lineRule="auto"/>
        <w:jc w:val="both"/>
        <w:rPr>
          <w:rFonts w:asciiTheme="majorHAnsi" w:hAnsiTheme="majorHAnsi" w:cs="Times New"/>
          <w:sz w:val="24"/>
          <w:szCs w:val="24"/>
        </w:rPr>
      </w:pPr>
      <w:r>
        <w:rPr>
          <w:rFonts w:asciiTheme="majorHAnsi" w:hAnsiTheme="majorHAnsi" w:cs="Times New"/>
          <w:color w:val="221E1F"/>
          <w:sz w:val="24"/>
          <w:szCs w:val="24"/>
        </w:rPr>
        <w:t>Temeljem članaka 10. 11. i 37. Zakona o pomorskom dobru i morskim lukama ("Narodne novine", broj 158/03, 141/06, 38/09, 123/11, 56/16 i 98/19), članka 5. Uredbe o postupku davanja koncesijskog odobrenja na pomorskom dobru ("Narodne novine", broj 36/04, 63/08, 133/13 i 63/14) (u daljnjem tekstu: Uredba) i članka 33. Statuta Općine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 xml:space="preserve"> ("Službene novine", broj 7/21),</w:t>
      </w:r>
      <w:r>
        <w:rPr>
          <w:rFonts w:asciiTheme="majorHAnsi" w:hAnsiTheme="majorHAnsi"/>
          <w:sz w:val="24"/>
          <w:szCs w:val="24"/>
        </w:rPr>
        <w:t xml:space="preserve"> </w:t>
      </w:r>
      <w:r>
        <w:rPr>
          <w:rFonts w:asciiTheme="majorHAnsi" w:hAnsiTheme="majorHAnsi" w:cs="Times New"/>
          <w:color w:val="221E1F"/>
          <w:sz w:val="24"/>
          <w:szCs w:val="24"/>
        </w:rPr>
        <w:t xml:space="preserve">a sukladno ishođenoj Potvrdi Upravnog odjela za pomorsko dobro, promet i veze Primorsko-goranske županije KLASA:______, URBROJ: ______ od ______ 2022. godine - u daljnjem tekstu: Potvrda, Općinski načelnik Općine </w:t>
      </w:r>
      <w:proofErr w:type="spellStart"/>
      <w:r>
        <w:rPr>
          <w:rFonts w:asciiTheme="majorHAnsi" w:hAnsiTheme="majorHAnsi" w:cs="Times New"/>
          <w:color w:val="221E1F"/>
          <w:sz w:val="24"/>
          <w:szCs w:val="24"/>
        </w:rPr>
        <w:t>Općine</w:t>
      </w:r>
      <w:proofErr w:type="spellEnd"/>
      <w:r>
        <w:rPr>
          <w:rFonts w:asciiTheme="majorHAnsi" w:hAnsiTheme="majorHAnsi" w:cs="Times New"/>
          <w:color w:val="221E1F"/>
          <w:sz w:val="24"/>
          <w:szCs w:val="24"/>
        </w:rPr>
        <w:t xml:space="preserve">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 xml:space="preserve">, </w:t>
      </w:r>
      <w:r>
        <w:rPr>
          <w:rFonts w:asciiTheme="majorHAnsi" w:hAnsiTheme="majorHAnsi" w:cs="Times New"/>
          <w:sz w:val="24"/>
          <w:szCs w:val="24"/>
        </w:rPr>
        <w:t xml:space="preserve">dana </w:t>
      </w:r>
      <w:r w:rsidR="004D5A0E">
        <w:rPr>
          <w:rFonts w:asciiTheme="majorHAnsi" w:hAnsiTheme="majorHAnsi" w:cs="Times New"/>
          <w:sz w:val="24"/>
          <w:szCs w:val="24"/>
        </w:rPr>
        <w:t>XY</w:t>
      </w:r>
      <w:r>
        <w:rPr>
          <w:rFonts w:asciiTheme="majorHAnsi" w:hAnsiTheme="majorHAnsi" w:cs="Times New"/>
          <w:sz w:val="24"/>
          <w:szCs w:val="24"/>
        </w:rPr>
        <w:t xml:space="preserve">. godine, donosi </w:t>
      </w:r>
    </w:p>
    <w:p w14:paraId="2E53D5B8" w14:textId="77777777" w:rsidR="005C341F" w:rsidRDefault="005C341F">
      <w:pPr>
        <w:spacing w:after="0" w:line="240" w:lineRule="auto"/>
        <w:rPr>
          <w:rFonts w:asciiTheme="majorHAnsi" w:hAnsiTheme="majorHAnsi" w:cs="Times New"/>
          <w:sz w:val="24"/>
          <w:szCs w:val="24"/>
        </w:rPr>
      </w:pPr>
    </w:p>
    <w:p w14:paraId="613ACC09" w14:textId="77777777" w:rsidR="005C341F" w:rsidRDefault="00000000">
      <w:pPr>
        <w:spacing w:after="0" w:line="240" w:lineRule="auto"/>
        <w:jc w:val="center"/>
        <w:rPr>
          <w:rFonts w:asciiTheme="majorHAnsi" w:hAnsiTheme="majorHAnsi" w:cs="Times New"/>
          <w:b/>
          <w:bCs/>
          <w:color w:val="221E1F"/>
          <w:sz w:val="24"/>
          <w:szCs w:val="24"/>
        </w:rPr>
      </w:pPr>
      <w:r>
        <w:rPr>
          <w:rFonts w:asciiTheme="majorHAnsi" w:hAnsiTheme="majorHAnsi" w:cs="Times New"/>
          <w:b/>
          <w:bCs/>
          <w:color w:val="221E1F"/>
          <w:sz w:val="24"/>
          <w:szCs w:val="24"/>
        </w:rPr>
        <w:t>PLAN</w:t>
      </w:r>
    </w:p>
    <w:p w14:paraId="27B25298" w14:textId="77777777" w:rsidR="005C341F" w:rsidRDefault="00000000">
      <w:pPr>
        <w:spacing w:after="0" w:line="240" w:lineRule="auto"/>
        <w:jc w:val="center"/>
        <w:rPr>
          <w:rFonts w:asciiTheme="majorHAnsi" w:hAnsiTheme="majorHAnsi" w:cs="Times New"/>
          <w:b/>
          <w:bCs/>
          <w:color w:val="221E1F"/>
          <w:sz w:val="24"/>
          <w:szCs w:val="24"/>
        </w:rPr>
      </w:pPr>
      <w:r>
        <w:rPr>
          <w:rFonts w:asciiTheme="majorHAnsi" w:hAnsiTheme="majorHAnsi" w:cs="Times New"/>
          <w:b/>
          <w:bCs/>
          <w:color w:val="221E1F"/>
          <w:sz w:val="24"/>
          <w:szCs w:val="24"/>
        </w:rPr>
        <w:t>upravljanja pomorskim dobrom na području Općine Malinska-</w:t>
      </w:r>
      <w:proofErr w:type="spellStart"/>
      <w:r>
        <w:rPr>
          <w:rFonts w:asciiTheme="majorHAnsi" w:hAnsiTheme="majorHAnsi" w:cs="Times New"/>
          <w:b/>
          <w:bCs/>
          <w:color w:val="221E1F"/>
          <w:sz w:val="24"/>
          <w:szCs w:val="24"/>
        </w:rPr>
        <w:t>Dubašnica</w:t>
      </w:r>
      <w:proofErr w:type="spellEnd"/>
      <w:r>
        <w:rPr>
          <w:rFonts w:asciiTheme="majorHAnsi" w:hAnsiTheme="majorHAnsi" w:cs="Times New"/>
          <w:b/>
          <w:bCs/>
          <w:color w:val="221E1F"/>
          <w:sz w:val="24"/>
          <w:szCs w:val="24"/>
        </w:rPr>
        <w:t xml:space="preserve"> za 2023. godinu</w:t>
      </w:r>
    </w:p>
    <w:p w14:paraId="7F1760CA" w14:textId="77777777" w:rsidR="005C341F" w:rsidRDefault="00000000">
      <w:pPr>
        <w:spacing w:after="0" w:line="240" w:lineRule="auto"/>
        <w:rPr>
          <w:rFonts w:asciiTheme="majorHAnsi" w:hAnsiTheme="majorHAnsi" w:cs="Times New"/>
          <w:color w:val="221E1F"/>
          <w:sz w:val="24"/>
          <w:szCs w:val="24"/>
        </w:rPr>
      </w:pPr>
      <w:r>
        <w:rPr>
          <w:rFonts w:asciiTheme="majorHAnsi" w:hAnsiTheme="majorHAnsi" w:cs="Times New"/>
          <w:color w:val="221E1F"/>
          <w:sz w:val="24"/>
          <w:szCs w:val="24"/>
        </w:rPr>
        <w:t xml:space="preserve"> </w:t>
      </w:r>
    </w:p>
    <w:p w14:paraId="3EE921D7" w14:textId="77777777" w:rsidR="005C341F" w:rsidRDefault="005C341F">
      <w:pPr>
        <w:spacing w:after="0" w:line="240" w:lineRule="auto"/>
        <w:rPr>
          <w:rFonts w:asciiTheme="majorHAnsi" w:hAnsiTheme="majorHAnsi" w:cs="Times New"/>
          <w:color w:val="221E1F"/>
          <w:sz w:val="24"/>
          <w:szCs w:val="24"/>
        </w:rPr>
      </w:pPr>
    </w:p>
    <w:p w14:paraId="10C403B5" w14:textId="77777777" w:rsidR="005C341F" w:rsidRDefault="005C341F">
      <w:pPr>
        <w:spacing w:after="0" w:line="240" w:lineRule="auto"/>
        <w:rPr>
          <w:rFonts w:asciiTheme="majorHAnsi" w:hAnsiTheme="majorHAnsi" w:cs="Times New"/>
          <w:color w:val="221E1F"/>
          <w:sz w:val="24"/>
          <w:szCs w:val="24"/>
        </w:rPr>
      </w:pPr>
    </w:p>
    <w:p w14:paraId="4ACEFEFC" w14:textId="77777777" w:rsidR="005C341F" w:rsidRDefault="00000000">
      <w:pPr>
        <w:numPr>
          <w:ilvl w:val="0"/>
          <w:numId w:val="20"/>
        </w:numPr>
        <w:spacing w:after="120" w:line="240" w:lineRule="auto"/>
        <w:ind w:left="1077"/>
        <w:rPr>
          <w:rFonts w:asciiTheme="majorHAnsi" w:hAnsiTheme="majorHAnsi" w:cs="Times New"/>
          <w:b/>
          <w:color w:val="221E1F"/>
          <w:sz w:val="24"/>
          <w:szCs w:val="24"/>
        </w:rPr>
      </w:pPr>
      <w:r>
        <w:rPr>
          <w:rFonts w:asciiTheme="majorHAnsi" w:hAnsiTheme="majorHAnsi" w:cs="Times New"/>
          <w:b/>
          <w:color w:val="221E1F"/>
          <w:sz w:val="24"/>
          <w:szCs w:val="24"/>
        </w:rPr>
        <w:t xml:space="preserve">TEMELJNE ODREDBE </w:t>
      </w:r>
    </w:p>
    <w:p w14:paraId="0218E749" w14:textId="77777777" w:rsidR="005C341F" w:rsidRPr="004D5A0E" w:rsidRDefault="00000000">
      <w:pPr>
        <w:spacing w:after="80" w:line="240" w:lineRule="auto"/>
        <w:jc w:val="center"/>
        <w:rPr>
          <w:rFonts w:asciiTheme="majorHAnsi" w:hAnsiTheme="majorHAnsi" w:cs="Times New"/>
          <w:b/>
          <w:bCs/>
          <w:color w:val="221E1F"/>
          <w:sz w:val="24"/>
          <w:szCs w:val="24"/>
        </w:rPr>
      </w:pPr>
      <w:r w:rsidRPr="004D5A0E">
        <w:rPr>
          <w:rFonts w:asciiTheme="majorHAnsi" w:hAnsiTheme="majorHAnsi" w:cs="Times New"/>
          <w:b/>
          <w:bCs/>
          <w:color w:val="221E1F"/>
          <w:sz w:val="24"/>
          <w:szCs w:val="24"/>
        </w:rPr>
        <w:t>Članak 1.</w:t>
      </w:r>
    </w:p>
    <w:p w14:paraId="106D97EA" w14:textId="77777777" w:rsidR="005C341F" w:rsidRDefault="00000000">
      <w:pPr>
        <w:spacing w:after="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Planom upravljanja pomorskim dobrom na području Općine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 xml:space="preserve"> za 2023. godinu  određuje se: </w:t>
      </w:r>
    </w:p>
    <w:p w14:paraId="5769AEEC" w14:textId="77777777" w:rsidR="005C341F" w:rsidRDefault="005C341F">
      <w:pPr>
        <w:spacing w:after="0" w:line="240" w:lineRule="auto"/>
        <w:jc w:val="both"/>
        <w:rPr>
          <w:rFonts w:asciiTheme="majorHAnsi" w:hAnsiTheme="majorHAnsi" w:cs="Times New"/>
          <w:color w:val="221E1F"/>
          <w:sz w:val="24"/>
          <w:szCs w:val="24"/>
        </w:rPr>
      </w:pPr>
    </w:p>
    <w:p w14:paraId="0C686616" w14:textId="77777777" w:rsidR="005C341F" w:rsidRDefault="00000000">
      <w:pPr>
        <w:numPr>
          <w:ilvl w:val="0"/>
          <w:numId w:val="26"/>
        </w:numPr>
        <w:spacing w:after="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 xml:space="preserve">Plan redovnog upravljanja pomorskim dobrom </w:t>
      </w:r>
    </w:p>
    <w:p w14:paraId="1C20FF02" w14:textId="77777777" w:rsidR="005C341F" w:rsidRDefault="00000000">
      <w:pPr>
        <w:numPr>
          <w:ilvl w:val="0"/>
          <w:numId w:val="26"/>
        </w:numPr>
        <w:spacing w:after="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 xml:space="preserve">Sredstva za redovno upravljanje pomorskim dobrom </w:t>
      </w:r>
    </w:p>
    <w:p w14:paraId="38E3BF3A" w14:textId="77777777" w:rsidR="005C341F" w:rsidRDefault="00000000">
      <w:pPr>
        <w:numPr>
          <w:ilvl w:val="0"/>
          <w:numId w:val="26"/>
        </w:numPr>
        <w:spacing w:after="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Popis djelatnosti koje se mogu obavljati na pomorskom dobru i mikrolokacije</w:t>
      </w:r>
    </w:p>
    <w:p w14:paraId="142BE333" w14:textId="77777777" w:rsidR="005C341F" w:rsidRDefault="00000000">
      <w:pPr>
        <w:spacing w:after="0" w:line="240" w:lineRule="auto"/>
        <w:rPr>
          <w:rFonts w:asciiTheme="majorHAnsi" w:hAnsiTheme="majorHAnsi" w:cs="Times New"/>
          <w:color w:val="221E1F"/>
          <w:sz w:val="24"/>
          <w:szCs w:val="24"/>
        </w:rPr>
      </w:pPr>
      <w:r>
        <w:rPr>
          <w:rFonts w:asciiTheme="majorHAnsi" w:hAnsiTheme="majorHAnsi" w:cs="Times New"/>
          <w:color w:val="221E1F"/>
          <w:sz w:val="24"/>
          <w:szCs w:val="24"/>
        </w:rPr>
        <w:t xml:space="preserve"> </w:t>
      </w:r>
    </w:p>
    <w:p w14:paraId="72B7C7CF" w14:textId="77777777" w:rsidR="005C341F" w:rsidRDefault="00000000">
      <w:pPr>
        <w:numPr>
          <w:ilvl w:val="0"/>
          <w:numId w:val="20"/>
        </w:numPr>
        <w:spacing w:after="120" w:line="240" w:lineRule="auto"/>
        <w:ind w:left="1077"/>
        <w:rPr>
          <w:rFonts w:asciiTheme="majorHAnsi" w:hAnsiTheme="majorHAnsi" w:cs="Times New"/>
          <w:b/>
          <w:color w:val="221E1F"/>
          <w:sz w:val="24"/>
          <w:szCs w:val="24"/>
        </w:rPr>
      </w:pPr>
      <w:r>
        <w:rPr>
          <w:rFonts w:asciiTheme="majorHAnsi" w:hAnsiTheme="majorHAnsi" w:cs="Times New"/>
          <w:b/>
          <w:color w:val="221E1F"/>
          <w:sz w:val="24"/>
          <w:szCs w:val="24"/>
        </w:rPr>
        <w:t xml:space="preserve">PLAN REDOVNOG UPRAVLJANJA POMORSKIM DOBROM </w:t>
      </w:r>
    </w:p>
    <w:p w14:paraId="0F793774" w14:textId="77777777" w:rsidR="005C341F" w:rsidRPr="004D5A0E" w:rsidRDefault="00000000">
      <w:pPr>
        <w:spacing w:after="80" w:line="240" w:lineRule="auto"/>
        <w:jc w:val="center"/>
        <w:rPr>
          <w:rFonts w:asciiTheme="majorHAnsi" w:hAnsiTheme="majorHAnsi" w:cs="Times New"/>
          <w:b/>
          <w:bCs/>
          <w:color w:val="221E1F"/>
          <w:sz w:val="24"/>
          <w:szCs w:val="24"/>
        </w:rPr>
      </w:pPr>
      <w:r w:rsidRPr="004D5A0E">
        <w:rPr>
          <w:rFonts w:asciiTheme="majorHAnsi" w:hAnsiTheme="majorHAnsi" w:cs="Times New"/>
          <w:b/>
          <w:bCs/>
          <w:color w:val="221E1F"/>
          <w:sz w:val="24"/>
          <w:szCs w:val="24"/>
        </w:rPr>
        <w:t>Članak 2.</w:t>
      </w:r>
    </w:p>
    <w:p w14:paraId="38511C4E" w14:textId="77777777" w:rsidR="005C341F" w:rsidRDefault="00000000">
      <w:pPr>
        <w:spacing w:after="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Općina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 xml:space="preserve"> upravlja pomorskim dobrom u skladu sa Zakonom o pomorskom dobru i morskim lukama („Narodne novine“ br. 158/03, 141/06, 38/09, 123/11, 56/16 i 98/19), Uredbom i ovim Planom na način da: </w:t>
      </w:r>
    </w:p>
    <w:p w14:paraId="1AB7BAE6" w14:textId="77777777" w:rsidR="005C341F" w:rsidRDefault="005C341F">
      <w:pPr>
        <w:spacing w:after="0" w:line="240" w:lineRule="auto"/>
        <w:jc w:val="both"/>
        <w:rPr>
          <w:rFonts w:asciiTheme="majorHAnsi" w:hAnsiTheme="majorHAnsi" w:cs="Times New"/>
          <w:color w:val="221E1F"/>
          <w:sz w:val="24"/>
          <w:szCs w:val="24"/>
        </w:rPr>
      </w:pPr>
    </w:p>
    <w:p w14:paraId="1589C5E0" w14:textId="77777777" w:rsidR="005C341F" w:rsidRDefault="00000000">
      <w:pPr>
        <w:numPr>
          <w:ilvl w:val="0"/>
          <w:numId w:val="22"/>
        </w:numPr>
        <w:spacing w:after="0" w:line="240" w:lineRule="auto"/>
        <w:ind w:left="425" w:hanging="425"/>
        <w:jc w:val="both"/>
        <w:rPr>
          <w:rFonts w:asciiTheme="majorHAnsi" w:hAnsiTheme="majorHAnsi" w:cs="Times New"/>
          <w:color w:val="221E1F"/>
          <w:sz w:val="24"/>
          <w:szCs w:val="24"/>
        </w:rPr>
      </w:pPr>
      <w:r>
        <w:rPr>
          <w:rFonts w:asciiTheme="majorHAnsi" w:hAnsiTheme="majorHAnsi" w:cs="Times New"/>
          <w:color w:val="221E1F"/>
          <w:sz w:val="24"/>
          <w:szCs w:val="24"/>
        </w:rPr>
        <w:t>zaštićuje i održava pomorsko dobro u općoj upotrebi sanacijom nastalih manjih oštećenja na pomorskom dobru (saniranje manjih pukotina na plažama na prostorima namijenjenim sunčanju, popravljanje ograda i stepenica za ulaz u more i sl.), uređenjem plaža dovozom pijeska i drugog materijala na način da se ne mijenja granica kopnenog i morskog dijela pomorskog dobra, čišćenjem i odvozom smeća, postavljanjem posuda za odlaganje smeća na plažama, postavljanjem tuševa i sl. Na dijelovima pomorskog dobra za koja je dodijeljena koncesija ili koncesijsko odobrenje za obavljanje određene djelatnosti na morskoj obali, o zaštiti i održavanju pomorskog dobra brine se ovlaštenik koncesije, odnosno korisnik koncesijskog odobrenja.</w:t>
      </w:r>
    </w:p>
    <w:p w14:paraId="6178DE51" w14:textId="77777777" w:rsidR="005C341F" w:rsidRDefault="00000000">
      <w:pPr>
        <w:numPr>
          <w:ilvl w:val="0"/>
          <w:numId w:val="22"/>
        </w:numPr>
        <w:spacing w:after="0" w:line="240" w:lineRule="auto"/>
        <w:ind w:left="425" w:hanging="425"/>
        <w:jc w:val="both"/>
        <w:rPr>
          <w:rFonts w:asciiTheme="majorHAnsi" w:hAnsiTheme="majorHAnsi" w:cs="Times New"/>
          <w:color w:val="221E1F"/>
          <w:sz w:val="24"/>
          <w:szCs w:val="24"/>
        </w:rPr>
      </w:pPr>
      <w:r>
        <w:rPr>
          <w:rFonts w:asciiTheme="majorHAnsi" w:hAnsiTheme="majorHAnsi" w:cs="Times New"/>
          <w:color w:val="221E1F"/>
          <w:sz w:val="24"/>
          <w:szCs w:val="24"/>
        </w:rPr>
        <w:t>dodjeljuje koncesijska odobrenja za obavljanje djelatnosti na pomorskom dobru koje ne isključuju niti ograničavaju opću upotrebu pomorskog dobra, putem Vijeća za davanje koncesijskih odobrenja Općine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 xml:space="preserve">. </w:t>
      </w:r>
    </w:p>
    <w:p w14:paraId="74F5AF40" w14:textId="77777777" w:rsidR="005C341F" w:rsidRDefault="00000000">
      <w:pPr>
        <w:numPr>
          <w:ilvl w:val="0"/>
          <w:numId w:val="22"/>
        </w:numPr>
        <w:spacing w:after="0" w:line="240" w:lineRule="auto"/>
        <w:ind w:left="426" w:hanging="426"/>
        <w:jc w:val="both"/>
        <w:rPr>
          <w:rFonts w:asciiTheme="majorHAnsi" w:hAnsiTheme="majorHAnsi" w:cs="Times New"/>
          <w:color w:val="221E1F"/>
          <w:sz w:val="24"/>
          <w:szCs w:val="24"/>
        </w:rPr>
      </w:pPr>
      <w:r>
        <w:rPr>
          <w:rFonts w:asciiTheme="majorHAnsi" w:hAnsiTheme="majorHAnsi" w:cs="Times New"/>
          <w:color w:val="221E1F"/>
          <w:sz w:val="24"/>
          <w:szCs w:val="24"/>
        </w:rPr>
        <w:t xml:space="preserve">u slučaju potrebe određivanja drugačijih uvjeta korištenja pomorskog dobra za održavanje manifestacija izuzetno se pomorsko dobro može dati na posebnu upotrebu organizatoru manifestacije kojim bi se djelomično ili potpuno isključilo od opće uporabe za druge osobe. </w:t>
      </w:r>
    </w:p>
    <w:p w14:paraId="105124B0" w14:textId="77777777" w:rsidR="005C341F" w:rsidRDefault="005C341F">
      <w:pPr>
        <w:spacing w:after="0" w:line="240" w:lineRule="auto"/>
        <w:rPr>
          <w:rFonts w:asciiTheme="majorHAnsi" w:hAnsiTheme="majorHAnsi" w:cs="Times New"/>
          <w:color w:val="221E1F"/>
          <w:sz w:val="24"/>
          <w:szCs w:val="24"/>
        </w:rPr>
      </w:pPr>
    </w:p>
    <w:p w14:paraId="13F91FEC" w14:textId="77777777" w:rsidR="005C341F" w:rsidRDefault="00000000">
      <w:pPr>
        <w:pStyle w:val="Odlomakpopisa"/>
        <w:numPr>
          <w:ilvl w:val="0"/>
          <w:numId w:val="20"/>
        </w:numPr>
        <w:spacing w:after="0" w:line="240" w:lineRule="auto"/>
        <w:rPr>
          <w:rFonts w:asciiTheme="majorHAnsi" w:hAnsiTheme="majorHAnsi" w:cs="Times New"/>
          <w:b/>
          <w:bCs/>
          <w:color w:val="221E1F"/>
          <w:sz w:val="24"/>
          <w:szCs w:val="24"/>
        </w:rPr>
      </w:pPr>
      <w:r>
        <w:rPr>
          <w:rFonts w:asciiTheme="majorHAnsi" w:hAnsiTheme="majorHAnsi" w:cs="Times New"/>
          <w:b/>
          <w:bCs/>
          <w:color w:val="221E1F"/>
          <w:sz w:val="24"/>
          <w:szCs w:val="24"/>
        </w:rPr>
        <w:t>NADZOR</w:t>
      </w:r>
    </w:p>
    <w:p w14:paraId="574A6C1C" w14:textId="77777777" w:rsidR="005C341F" w:rsidRDefault="005C341F">
      <w:pPr>
        <w:spacing w:after="0" w:line="240" w:lineRule="auto"/>
        <w:rPr>
          <w:rFonts w:asciiTheme="majorHAnsi" w:hAnsiTheme="majorHAnsi" w:cs="Times New"/>
          <w:color w:val="221E1F"/>
          <w:sz w:val="24"/>
          <w:szCs w:val="24"/>
        </w:rPr>
      </w:pPr>
    </w:p>
    <w:p w14:paraId="5D226408" w14:textId="77777777" w:rsidR="005C341F" w:rsidRPr="004D5A0E" w:rsidRDefault="00000000">
      <w:pPr>
        <w:spacing w:after="80" w:line="240" w:lineRule="auto"/>
        <w:ind w:left="426" w:hanging="426"/>
        <w:jc w:val="center"/>
        <w:rPr>
          <w:rFonts w:asciiTheme="majorHAnsi" w:hAnsiTheme="majorHAnsi" w:cs="Times New"/>
          <w:b/>
          <w:bCs/>
          <w:color w:val="221E1F"/>
          <w:sz w:val="24"/>
          <w:szCs w:val="24"/>
        </w:rPr>
      </w:pPr>
      <w:r w:rsidRPr="004D5A0E">
        <w:rPr>
          <w:rFonts w:asciiTheme="majorHAnsi" w:hAnsiTheme="majorHAnsi" w:cs="Times New"/>
          <w:b/>
          <w:bCs/>
          <w:color w:val="221E1F"/>
          <w:sz w:val="24"/>
          <w:szCs w:val="24"/>
        </w:rPr>
        <w:t>Članak 3.</w:t>
      </w:r>
    </w:p>
    <w:p w14:paraId="0B647C66" w14:textId="77777777" w:rsidR="005C341F" w:rsidRDefault="00000000">
      <w:pPr>
        <w:spacing w:after="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lastRenderedPageBreak/>
        <w:t>Komunalni redari Općine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 xml:space="preserve"> dužni su vršiti nadzor nad korištenjem pomorskog dobra. Ukoliko utvrde da se korištenje pomorskog odbra ne vrši na način propisan zakonom, odnosno da je u suprotnosti s koncesijskim odobrenjem izdanim od Vijeća za davanje koncesijskog odobrenja Općine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 komunalni redari dužni su o tome izvijestiti Lučku kapetaniju Malinska, druga nadležna tijela te Vijeće za davanje koncesijskog odobrenja Općine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w:t>
      </w:r>
    </w:p>
    <w:p w14:paraId="29050157" w14:textId="77777777" w:rsidR="005C341F" w:rsidRDefault="005C341F">
      <w:pPr>
        <w:spacing w:after="0" w:line="240" w:lineRule="auto"/>
        <w:rPr>
          <w:rFonts w:asciiTheme="majorHAnsi" w:hAnsiTheme="majorHAnsi" w:cs="Times New"/>
          <w:color w:val="221E1F"/>
          <w:sz w:val="24"/>
          <w:szCs w:val="24"/>
        </w:rPr>
      </w:pPr>
    </w:p>
    <w:p w14:paraId="4011277E" w14:textId="77777777" w:rsidR="005C341F" w:rsidRDefault="005C341F">
      <w:pPr>
        <w:spacing w:after="0" w:line="240" w:lineRule="auto"/>
        <w:rPr>
          <w:rFonts w:asciiTheme="majorHAnsi" w:hAnsiTheme="majorHAnsi" w:cs="Times New"/>
          <w:color w:val="221E1F"/>
          <w:sz w:val="24"/>
          <w:szCs w:val="24"/>
        </w:rPr>
      </w:pPr>
    </w:p>
    <w:p w14:paraId="6D24F226" w14:textId="77777777" w:rsidR="005C341F" w:rsidRDefault="005C341F">
      <w:pPr>
        <w:spacing w:after="0" w:line="240" w:lineRule="auto"/>
        <w:jc w:val="right"/>
        <w:rPr>
          <w:rFonts w:asciiTheme="majorHAnsi" w:hAnsiTheme="majorHAnsi" w:cs="Times New"/>
          <w:color w:val="221E1F"/>
          <w:sz w:val="24"/>
          <w:szCs w:val="24"/>
        </w:rPr>
      </w:pPr>
    </w:p>
    <w:p w14:paraId="3D6A92CB" w14:textId="77777777" w:rsidR="005C341F" w:rsidRDefault="00000000" w:rsidP="004D5A0E">
      <w:pPr>
        <w:pStyle w:val="Odlomakpopisa"/>
        <w:numPr>
          <w:ilvl w:val="0"/>
          <w:numId w:val="20"/>
        </w:numPr>
        <w:spacing w:after="120" w:line="240" w:lineRule="auto"/>
        <w:ind w:hanging="578"/>
        <w:rPr>
          <w:rFonts w:asciiTheme="majorHAnsi" w:hAnsiTheme="majorHAnsi" w:cs="Times New"/>
          <w:b/>
          <w:color w:val="221E1F"/>
          <w:sz w:val="24"/>
          <w:szCs w:val="24"/>
        </w:rPr>
      </w:pPr>
      <w:r>
        <w:rPr>
          <w:rFonts w:asciiTheme="majorHAnsi" w:hAnsiTheme="majorHAnsi" w:cs="Times New"/>
          <w:b/>
          <w:color w:val="221E1F"/>
          <w:sz w:val="24"/>
          <w:szCs w:val="24"/>
        </w:rPr>
        <w:t xml:space="preserve">SREDSTVA ZA REDOVNO UPRAVLJANJE </w:t>
      </w:r>
    </w:p>
    <w:p w14:paraId="3C8E3A4E" w14:textId="77777777" w:rsidR="005C341F" w:rsidRDefault="005C341F">
      <w:pPr>
        <w:pStyle w:val="Odlomakpopisa"/>
        <w:spacing w:after="120" w:line="240" w:lineRule="auto"/>
        <w:ind w:left="1004"/>
        <w:rPr>
          <w:rFonts w:asciiTheme="majorHAnsi" w:hAnsiTheme="majorHAnsi" w:cs="Times New"/>
          <w:b/>
          <w:color w:val="221E1F"/>
          <w:sz w:val="24"/>
          <w:szCs w:val="24"/>
        </w:rPr>
      </w:pPr>
    </w:p>
    <w:p w14:paraId="375FA3E5" w14:textId="77777777" w:rsidR="005C341F" w:rsidRPr="004D5A0E" w:rsidRDefault="00000000">
      <w:pPr>
        <w:spacing w:after="0" w:line="240" w:lineRule="auto"/>
        <w:jc w:val="center"/>
        <w:rPr>
          <w:rFonts w:asciiTheme="majorHAnsi" w:hAnsiTheme="majorHAnsi" w:cs="Times New"/>
          <w:b/>
          <w:bCs/>
          <w:color w:val="221E1F"/>
          <w:sz w:val="24"/>
          <w:szCs w:val="24"/>
        </w:rPr>
      </w:pPr>
      <w:r w:rsidRPr="004D5A0E">
        <w:rPr>
          <w:rFonts w:asciiTheme="majorHAnsi" w:hAnsiTheme="majorHAnsi" w:cs="Times New"/>
          <w:b/>
          <w:bCs/>
          <w:color w:val="221E1F"/>
          <w:sz w:val="24"/>
          <w:szCs w:val="24"/>
        </w:rPr>
        <w:t>Članak 4.</w:t>
      </w:r>
    </w:p>
    <w:p w14:paraId="6B1F4EB2" w14:textId="189B0F23" w:rsidR="005C341F" w:rsidRDefault="00000000">
      <w:pPr>
        <w:spacing w:before="80" w:after="8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 xml:space="preserve">Sredstva za redovno upravljanje pomorskim dobrom jesu sredstva prikupljena od naknade za davanje koncesijskog odobrenja za obavljanje djelatnosti </w:t>
      </w:r>
      <w:r w:rsidRPr="004D5A0E">
        <w:rPr>
          <w:rFonts w:asciiTheme="majorHAnsi" w:hAnsiTheme="majorHAnsi" w:cs="Times New"/>
          <w:sz w:val="24"/>
          <w:szCs w:val="24"/>
        </w:rPr>
        <w:t xml:space="preserve">utvrđenih u članku </w:t>
      </w:r>
      <w:r w:rsidR="004D5A0E" w:rsidRPr="004D5A0E">
        <w:rPr>
          <w:rFonts w:asciiTheme="majorHAnsi" w:hAnsiTheme="majorHAnsi" w:cs="Times New"/>
          <w:sz w:val="24"/>
          <w:szCs w:val="24"/>
        </w:rPr>
        <w:t>13</w:t>
      </w:r>
      <w:r w:rsidRPr="004D5A0E">
        <w:rPr>
          <w:rFonts w:asciiTheme="majorHAnsi" w:hAnsiTheme="majorHAnsi" w:cs="Times New"/>
          <w:sz w:val="24"/>
          <w:szCs w:val="24"/>
        </w:rPr>
        <w:t xml:space="preserve">. ovoga </w:t>
      </w:r>
      <w:r>
        <w:rPr>
          <w:rFonts w:asciiTheme="majorHAnsi" w:hAnsiTheme="majorHAnsi" w:cs="Times New"/>
          <w:color w:val="221E1F"/>
          <w:sz w:val="24"/>
          <w:szCs w:val="24"/>
        </w:rPr>
        <w:t>Plana</w:t>
      </w:r>
      <w:r w:rsidR="004D5A0E">
        <w:rPr>
          <w:rFonts w:asciiTheme="majorHAnsi" w:hAnsiTheme="majorHAnsi" w:cs="Times New"/>
          <w:color w:val="221E1F"/>
          <w:sz w:val="24"/>
          <w:szCs w:val="24"/>
        </w:rPr>
        <w:t>, izdanih koncesija</w:t>
      </w:r>
      <w:r>
        <w:rPr>
          <w:rFonts w:asciiTheme="majorHAnsi" w:hAnsiTheme="majorHAnsi" w:cs="Times New"/>
          <w:color w:val="221E1F"/>
          <w:sz w:val="24"/>
          <w:szCs w:val="24"/>
        </w:rPr>
        <w:t xml:space="preserve"> i sredstva iz Proračuna Općine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 kako slijedi:</w:t>
      </w:r>
    </w:p>
    <w:tbl>
      <w:tblPr>
        <w:tblStyle w:val="Reetkatablice"/>
        <w:tblW w:w="0" w:type="auto"/>
        <w:tblLook w:val="04A0" w:firstRow="1" w:lastRow="0" w:firstColumn="1" w:lastColumn="0" w:noHBand="0" w:noVBand="1"/>
      </w:tblPr>
      <w:tblGrid>
        <w:gridCol w:w="574"/>
        <w:gridCol w:w="5760"/>
        <w:gridCol w:w="1698"/>
        <w:gridCol w:w="1597"/>
      </w:tblGrid>
      <w:tr w:rsidR="005C341F" w14:paraId="47C8288D" w14:textId="77777777">
        <w:tc>
          <w:tcPr>
            <w:tcW w:w="574" w:type="dxa"/>
            <w:shd w:val="clear" w:color="auto" w:fill="A6A6A6" w:themeFill="background1" w:themeFillShade="A6"/>
            <w:vAlign w:val="center"/>
          </w:tcPr>
          <w:p w14:paraId="2B1AFFF2" w14:textId="77777777" w:rsidR="005C341F" w:rsidRDefault="00000000">
            <w:pPr>
              <w:jc w:val="center"/>
              <w:rPr>
                <w:rFonts w:asciiTheme="majorHAnsi" w:hAnsiTheme="majorHAnsi" w:cs="Times New"/>
                <w:b/>
                <w:color w:val="221E1F"/>
                <w:sz w:val="24"/>
                <w:szCs w:val="24"/>
              </w:rPr>
            </w:pPr>
            <w:r>
              <w:rPr>
                <w:rFonts w:asciiTheme="majorHAnsi" w:hAnsiTheme="majorHAnsi" w:cs="Times New"/>
                <w:b/>
                <w:color w:val="221E1F"/>
                <w:sz w:val="24"/>
                <w:szCs w:val="24"/>
              </w:rPr>
              <w:t>Rb.</w:t>
            </w:r>
          </w:p>
        </w:tc>
        <w:tc>
          <w:tcPr>
            <w:tcW w:w="5760" w:type="dxa"/>
            <w:shd w:val="clear" w:color="auto" w:fill="A6A6A6" w:themeFill="background1" w:themeFillShade="A6"/>
            <w:vAlign w:val="center"/>
          </w:tcPr>
          <w:p w14:paraId="45D9B55D" w14:textId="77777777" w:rsidR="005C341F" w:rsidRDefault="00000000">
            <w:pPr>
              <w:jc w:val="center"/>
              <w:rPr>
                <w:rFonts w:asciiTheme="majorHAnsi" w:hAnsiTheme="majorHAnsi" w:cs="Times New"/>
                <w:b/>
                <w:color w:val="221E1F"/>
                <w:sz w:val="24"/>
                <w:szCs w:val="24"/>
              </w:rPr>
            </w:pPr>
            <w:r>
              <w:rPr>
                <w:rFonts w:asciiTheme="majorHAnsi" w:hAnsiTheme="majorHAnsi" w:cs="Times New"/>
                <w:b/>
                <w:color w:val="221E1F"/>
                <w:sz w:val="24"/>
                <w:szCs w:val="24"/>
              </w:rPr>
              <w:t>Vrsta</w:t>
            </w:r>
          </w:p>
        </w:tc>
        <w:tc>
          <w:tcPr>
            <w:tcW w:w="1698" w:type="dxa"/>
            <w:shd w:val="clear" w:color="auto" w:fill="A6A6A6" w:themeFill="background1" w:themeFillShade="A6"/>
            <w:vAlign w:val="center"/>
          </w:tcPr>
          <w:p w14:paraId="4C0F9171" w14:textId="77777777" w:rsidR="005C341F" w:rsidRDefault="00000000">
            <w:pPr>
              <w:jc w:val="center"/>
              <w:rPr>
                <w:rFonts w:asciiTheme="majorHAnsi" w:hAnsiTheme="majorHAnsi" w:cs="Times New"/>
                <w:b/>
                <w:color w:val="221E1F"/>
                <w:sz w:val="24"/>
                <w:szCs w:val="24"/>
              </w:rPr>
            </w:pPr>
            <w:r>
              <w:rPr>
                <w:rFonts w:asciiTheme="majorHAnsi" w:hAnsiTheme="majorHAnsi" w:cs="Times New"/>
                <w:b/>
                <w:color w:val="221E1F"/>
                <w:sz w:val="24"/>
                <w:szCs w:val="24"/>
              </w:rPr>
              <w:t>Iznos (HRK)</w:t>
            </w:r>
          </w:p>
        </w:tc>
        <w:tc>
          <w:tcPr>
            <w:tcW w:w="1597" w:type="dxa"/>
            <w:shd w:val="clear" w:color="auto" w:fill="A6A6A6" w:themeFill="background1" w:themeFillShade="A6"/>
          </w:tcPr>
          <w:p w14:paraId="0C4B8208" w14:textId="77777777" w:rsidR="005C341F" w:rsidRDefault="00000000">
            <w:pPr>
              <w:jc w:val="center"/>
              <w:rPr>
                <w:rFonts w:asciiTheme="majorHAnsi" w:hAnsiTheme="majorHAnsi" w:cs="Times New"/>
                <w:b/>
                <w:color w:val="221E1F"/>
                <w:sz w:val="24"/>
                <w:szCs w:val="24"/>
              </w:rPr>
            </w:pPr>
            <w:r>
              <w:rPr>
                <w:rFonts w:asciiTheme="majorHAnsi" w:hAnsiTheme="majorHAnsi" w:cs="Times New"/>
                <w:b/>
                <w:color w:val="221E1F"/>
                <w:sz w:val="24"/>
                <w:szCs w:val="24"/>
              </w:rPr>
              <w:t>Iznos (EUR)</w:t>
            </w:r>
          </w:p>
        </w:tc>
      </w:tr>
      <w:tr w:rsidR="005C341F" w14:paraId="01934468" w14:textId="77777777">
        <w:tc>
          <w:tcPr>
            <w:tcW w:w="574" w:type="dxa"/>
            <w:vAlign w:val="center"/>
          </w:tcPr>
          <w:p w14:paraId="64C8732D" w14:textId="77777777" w:rsidR="005C341F" w:rsidRDefault="00000000">
            <w:pPr>
              <w:jc w:val="center"/>
              <w:rPr>
                <w:rFonts w:asciiTheme="majorHAnsi" w:hAnsiTheme="majorHAnsi" w:cs="Times New"/>
                <w:color w:val="221E1F"/>
                <w:sz w:val="24"/>
                <w:szCs w:val="24"/>
              </w:rPr>
            </w:pPr>
            <w:r>
              <w:rPr>
                <w:rFonts w:asciiTheme="majorHAnsi" w:hAnsiTheme="majorHAnsi" w:cs="Times New"/>
                <w:color w:val="221E1F"/>
                <w:sz w:val="24"/>
                <w:szCs w:val="24"/>
              </w:rPr>
              <w:t>1.</w:t>
            </w:r>
          </w:p>
        </w:tc>
        <w:tc>
          <w:tcPr>
            <w:tcW w:w="5760" w:type="dxa"/>
            <w:vAlign w:val="center"/>
          </w:tcPr>
          <w:p w14:paraId="78F769E6" w14:textId="77777777" w:rsidR="005C341F" w:rsidRDefault="00000000">
            <w:pPr>
              <w:rPr>
                <w:rFonts w:asciiTheme="majorHAnsi" w:hAnsiTheme="majorHAnsi" w:cs="Times New"/>
                <w:color w:val="221E1F"/>
                <w:sz w:val="24"/>
                <w:szCs w:val="24"/>
              </w:rPr>
            </w:pPr>
            <w:r>
              <w:rPr>
                <w:rFonts w:asciiTheme="majorHAnsi" w:hAnsiTheme="majorHAnsi" w:cs="Arial"/>
                <w:sz w:val="24"/>
                <w:szCs w:val="24"/>
              </w:rPr>
              <w:t>Sredstva od naknada za izdana koncesijska odobrenja</w:t>
            </w:r>
          </w:p>
        </w:tc>
        <w:tc>
          <w:tcPr>
            <w:tcW w:w="1698" w:type="dxa"/>
            <w:vAlign w:val="center"/>
          </w:tcPr>
          <w:p w14:paraId="46A6939E"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286.311,00</w:t>
            </w:r>
          </w:p>
        </w:tc>
        <w:tc>
          <w:tcPr>
            <w:tcW w:w="1597" w:type="dxa"/>
          </w:tcPr>
          <w:p w14:paraId="7F79DFFF"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38.000,00</w:t>
            </w:r>
          </w:p>
        </w:tc>
      </w:tr>
      <w:tr w:rsidR="005C341F" w14:paraId="57D12D02" w14:textId="77777777">
        <w:tc>
          <w:tcPr>
            <w:tcW w:w="574" w:type="dxa"/>
            <w:vAlign w:val="center"/>
          </w:tcPr>
          <w:p w14:paraId="09B40C8C" w14:textId="77777777" w:rsidR="005C341F" w:rsidRDefault="00000000">
            <w:pPr>
              <w:jc w:val="center"/>
              <w:rPr>
                <w:rFonts w:asciiTheme="majorHAnsi" w:hAnsiTheme="majorHAnsi" w:cs="Times New"/>
                <w:color w:val="221E1F"/>
                <w:sz w:val="24"/>
                <w:szCs w:val="24"/>
              </w:rPr>
            </w:pPr>
            <w:r>
              <w:rPr>
                <w:rFonts w:asciiTheme="majorHAnsi" w:hAnsiTheme="majorHAnsi" w:cs="Times New"/>
                <w:color w:val="221E1F"/>
                <w:sz w:val="24"/>
                <w:szCs w:val="24"/>
              </w:rPr>
              <w:t>2.</w:t>
            </w:r>
          </w:p>
        </w:tc>
        <w:tc>
          <w:tcPr>
            <w:tcW w:w="5760" w:type="dxa"/>
            <w:vAlign w:val="center"/>
          </w:tcPr>
          <w:p w14:paraId="5B520444" w14:textId="77777777" w:rsidR="005C341F" w:rsidRDefault="00000000">
            <w:pPr>
              <w:rPr>
                <w:rFonts w:asciiTheme="majorHAnsi" w:hAnsiTheme="majorHAnsi" w:cs="Times New"/>
                <w:color w:val="221E1F"/>
                <w:sz w:val="24"/>
                <w:szCs w:val="24"/>
              </w:rPr>
            </w:pPr>
            <w:r>
              <w:rPr>
                <w:rFonts w:asciiTheme="majorHAnsi" w:hAnsiTheme="majorHAnsi" w:cs="Times New"/>
                <w:color w:val="221E1F"/>
                <w:sz w:val="24"/>
                <w:szCs w:val="24"/>
              </w:rPr>
              <w:t>Sredstva od koncesije na pomorskom dobru</w:t>
            </w:r>
          </w:p>
        </w:tc>
        <w:tc>
          <w:tcPr>
            <w:tcW w:w="1698" w:type="dxa"/>
            <w:vAlign w:val="center"/>
          </w:tcPr>
          <w:p w14:paraId="747A8CE3"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143.155,50</w:t>
            </w:r>
          </w:p>
        </w:tc>
        <w:tc>
          <w:tcPr>
            <w:tcW w:w="1597" w:type="dxa"/>
          </w:tcPr>
          <w:p w14:paraId="1C7BE371"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19.000,00</w:t>
            </w:r>
          </w:p>
        </w:tc>
      </w:tr>
      <w:tr w:rsidR="005C341F" w14:paraId="614DAEA8" w14:textId="77777777">
        <w:tc>
          <w:tcPr>
            <w:tcW w:w="574" w:type="dxa"/>
            <w:vAlign w:val="center"/>
          </w:tcPr>
          <w:p w14:paraId="0EB88018" w14:textId="77777777" w:rsidR="005C341F" w:rsidRDefault="00000000">
            <w:pPr>
              <w:jc w:val="center"/>
              <w:rPr>
                <w:rFonts w:asciiTheme="majorHAnsi" w:hAnsiTheme="majorHAnsi" w:cs="Times New"/>
                <w:sz w:val="24"/>
                <w:szCs w:val="24"/>
              </w:rPr>
            </w:pPr>
            <w:r>
              <w:rPr>
                <w:rFonts w:asciiTheme="majorHAnsi" w:hAnsiTheme="majorHAnsi" w:cs="Times New"/>
                <w:sz w:val="24"/>
                <w:szCs w:val="24"/>
              </w:rPr>
              <w:t>3.</w:t>
            </w:r>
          </w:p>
        </w:tc>
        <w:tc>
          <w:tcPr>
            <w:tcW w:w="5760" w:type="dxa"/>
            <w:vAlign w:val="center"/>
          </w:tcPr>
          <w:p w14:paraId="5716CE71" w14:textId="77777777" w:rsidR="005C341F" w:rsidRDefault="00000000">
            <w:pPr>
              <w:rPr>
                <w:rFonts w:asciiTheme="majorHAnsi" w:hAnsiTheme="majorHAnsi" w:cs="Times New"/>
                <w:sz w:val="24"/>
                <w:szCs w:val="24"/>
              </w:rPr>
            </w:pPr>
            <w:r>
              <w:rPr>
                <w:rFonts w:asciiTheme="majorHAnsi" w:hAnsiTheme="majorHAnsi" w:cs="Times New"/>
                <w:sz w:val="24"/>
                <w:szCs w:val="24"/>
              </w:rPr>
              <w:t>Sredstva iz Proračuna Općine Malinska-</w:t>
            </w:r>
            <w:proofErr w:type="spellStart"/>
            <w:r>
              <w:rPr>
                <w:rFonts w:asciiTheme="majorHAnsi" w:hAnsiTheme="majorHAnsi" w:cs="Times New"/>
                <w:sz w:val="24"/>
                <w:szCs w:val="24"/>
              </w:rPr>
              <w:t>Dubašnica</w:t>
            </w:r>
            <w:proofErr w:type="spellEnd"/>
          </w:p>
        </w:tc>
        <w:tc>
          <w:tcPr>
            <w:tcW w:w="1698" w:type="dxa"/>
            <w:vAlign w:val="center"/>
          </w:tcPr>
          <w:p w14:paraId="20FAA7F5"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2.961.020,83</w:t>
            </w:r>
          </w:p>
        </w:tc>
        <w:tc>
          <w:tcPr>
            <w:tcW w:w="1597" w:type="dxa"/>
          </w:tcPr>
          <w:p w14:paraId="4B0A32DA"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392.995,00</w:t>
            </w:r>
          </w:p>
        </w:tc>
      </w:tr>
      <w:tr w:rsidR="005C341F" w14:paraId="6EA89F33" w14:textId="77777777">
        <w:tc>
          <w:tcPr>
            <w:tcW w:w="6334" w:type="dxa"/>
            <w:gridSpan w:val="2"/>
            <w:vAlign w:val="center"/>
          </w:tcPr>
          <w:p w14:paraId="7C325E96" w14:textId="77777777" w:rsidR="005C341F" w:rsidRDefault="00000000">
            <w:pPr>
              <w:jc w:val="right"/>
              <w:rPr>
                <w:rFonts w:asciiTheme="majorHAnsi" w:hAnsiTheme="majorHAnsi" w:cs="Times New"/>
                <w:b/>
                <w:sz w:val="24"/>
                <w:szCs w:val="24"/>
              </w:rPr>
            </w:pPr>
            <w:r>
              <w:rPr>
                <w:rFonts w:asciiTheme="majorHAnsi" w:hAnsiTheme="majorHAnsi" w:cs="Times New"/>
                <w:b/>
                <w:sz w:val="24"/>
                <w:szCs w:val="24"/>
              </w:rPr>
              <w:t>UKUPNO:</w:t>
            </w:r>
          </w:p>
        </w:tc>
        <w:tc>
          <w:tcPr>
            <w:tcW w:w="1698" w:type="dxa"/>
            <w:vAlign w:val="center"/>
          </w:tcPr>
          <w:p w14:paraId="33638E7D" w14:textId="77777777" w:rsidR="005C341F" w:rsidRDefault="00000000">
            <w:pPr>
              <w:jc w:val="right"/>
              <w:rPr>
                <w:rFonts w:asciiTheme="majorHAnsi" w:hAnsiTheme="majorHAnsi" w:cs="Times New"/>
                <w:b/>
                <w:sz w:val="24"/>
                <w:szCs w:val="24"/>
              </w:rPr>
            </w:pPr>
            <w:r>
              <w:rPr>
                <w:rFonts w:asciiTheme="majorHAnsi" w:hAnsiTheme="majorHAnsi" w:cs="Times New"/>
                <w:b/>
                <w:sz w:val="24"/>
                <w:szCs w:val="24"/>
              </w:rPr>
              <w:t>3.390.487,33</w:t>
            </w:r>
          </w:p>
        </w:tc>
        <w:tc>
          <w:tcPr>
            <w:tcW w:w="1597" w:type="dxa"/>
          </w:tcPr>
          <w:p w14:paraId="0D5E1DC4" w14:textId="77777777" w:rsidR="005C341F" w:rsidRDefault="00000000">
            <w:pPr>
              <w:jc w:val="right"/>
              <w:rPr>
                <w:rFonts w:asciiTheme="majorHAnsi" w:hAnsiTheme="majorHAnsi" w:cs="Times New"/>
                <w:b/>
                <w:sz w:val="24"/>
                <w:szCs w:val="24"/>
              </w:rPr>
            </w:pPr>
            <w:r>
              <w:rPr>
                <w:rFonts w:asciiTheme="majorHAnsi" w:hAnsiTheme="majorHAnsi" w:cs="Times New"/>
                <w:b/>
                <w:sz w:val="24"/>
                <w:szCs w:val="24"/>
              </w:rPr>
              <w:t>449.995,00</w:t>
            </w:r>
          </w:p>
        </w:tc>
      </w:tr>
    </w:tbl>
    <w:p w14:paraId="55F04DCE" w14:textId="77777777" w:rsidR="005C341F" w:rsidRDefault="00000000">
      <w:pPr>
        <w:spacing w:before="80" w:after="8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Sredstva iz stavka 1. ovoga članka namijenjena za obavljanje radova na održavanju pomorskog dobra, kako slijedi:</w:t>
      </w:r>
    </w:p>
    <w:tbl>
      <w:tblPr>
        <w:tblStyle w:val="Reetkatablice"/>
        <w:tblW w:w="0" w:type="auto"/>
        <w:tblLook w:val="04A0" w:firstRow="1" w:lastRow="0" w:firstColumn="1" w:lastColumn="0" w:noHBand="0" w:noVBand="1"/>
      </w:tblPr>
      <w:tblGrid>
        <w:gridCol w:w="573"/>
        <w:gridCol w:w="5698"/>
        <w:gridCol w:w="1695"/>
        <w:gridCol w:w="1663"/>
      </w:tblGrid>
      <w:tr w:rsidR="005C341F" w14:paraId="219DBADE" w14:textId="77777777">
        <w:tc>
          <w:tcPr>
            <w:tcW w:w="573" w:type="dxa"/>
            <w:shd w:val="clear" w:color="auto" w:fill="A6A6A6" w:themeFill="background1" w:themeFillShade="A6"/>
            <w:vAlign w:val="center"/>
          </w:tcPr>
          <w:p w14:paraId="7EE5AF6C" w14:textId="77777777" w:rsidR="005C341F" w:rsidRDefault="00000000">
            <w:pPr>
              <w:jc w:val="center"/>
              <w:rPr>
                <w:rFonts w:asciiTheme="majorHAnsi" w:hAnsiTheme="majorHAnsi" w:cs="Times New"/>
                <w:b/>
                <w:color w:val="221E1F"/>
                <w:sz w:val="24"/>
                <w:szCs w:val="24"/>
              </w:rPr>
            </w:pPr>
            <w:r>
              <w:rPr>
                <w:rFonts w:asciiTheme="majorHAnsi" w:hAnsiTheme="majorHAnsi" w:cs="Times New"/>
                <w:b/>
                <w:color w:val="221E1F"/>
                <w:sz w:val="24"/>
                <w:szCs w:val="24"/>
              </w:rPr>
              <w:t>Rb.</w:t>
            </w:r>
          </w:p>
        </w:tc>
        <w:tc>
          <w:tcPr>
            <w:tcW w:w="5698" w:type="dxa"/>
            <w:shd w:val="clear" w:color="auto" w:fill="A6A6A6" w:themeFill="background1" w:themeFillShade="A6"/>
            <w:vAlign w:val="center"/>
          </w:tcPr>
          <w:p w14:paraId="4C87CF66" w14:textId="77777777" w:rsidR="005C341F" w:rsidRDefault="00000000">
            <w:pPr>
              <w:jc w:val="center"/>
              <w:rPr>
                <w:rFonts w:asciiTheme="majorHAnsi" w:hAnsiTheme="majorHAnsi" w:cs="Times New"/>
                <w:b/>
                <w:color w:val="221E1F"/>
                <w:sz w:val="24"/>
                <w:szCs w:val="24"/>
              </w:rPr>
            </w:pPr>
            <w:r>
              <w:rPr>
                <w:rFonts w:asciiTheme="majorHAnsi" w:hAnsiTheme="majorHAnsi" w:cs="Times New"/>
                <w:b/>
                <w:color w:val="221E1F"/>
                <w:sz w:val="24"/>
                <w:szCs w:val="24"/>
              </w:rPr>
              <w:t>Vrsta</w:t>
            </w:r>
          </w:p>
        </w:tc>
        <w:tc>
          <w:tcPr>
            <w:tcW w:w="1695" w:type="dxa"/>
            <w:shd w:val="clear" w:color="auto" w:fill="A6A6A6" w:themeFill="background1" w:themeFillShade="A6"/>
            <w:vAlign w:val="center"/>
          </w:tcPr>
          <w:p w14:paraId="112C5DFD" w14:textId="77777777" w:rsidR="005C341F" w:rsidRDefault="00000000">
            <w:pPr>
              <w:jc w:val="center"/>
              <w:rPr>
                <w:rFonts w:asciiTheme="majorHAnsi" w:hAnsiTheme="majorHAnsi" w:cs="Times New"/>
                <w:b/>
                <w:color w:val="221E1F"/>
                <w:sz w:val="24"/>
                <w:szCs w:val="24"/>
              </w:rPr>
            </w:pPr>
            <w:r>
              <w:rPr>
                <w:rFonts w:asciiTheme="majorHAnsi" w:hAnsiTheme="majorHAnsi" w:cs="Times New"/>
                <w:b/>
                <w:color w:val="221E1F"/>
                <w:sz w:val="24"/>
                <w:szCs w:val="24"/>
              </w:rPr>
              <w:t>Iznos (HRK)</w:t>
            </w:r>
          </w:p>
        </w:tc>
        <w:tc>
          <w:tcPr>
            <w:tcW w:w="1663" w:type="dxa"/>
            <w:shd w:val="clear" w:color="auto" w:fill="A6A6A6" w:themeFill="background1" w:themeFillShade="A6"/>
            <w:vAlign w:val="center"/>
          </w:tcPr>
          <w:p w14:paraId="6E1E75E5" w14:textId="77777777" w:rsidR="005C341F" w:rsidRDefault="00000000">
            <w:pPr>
              <w:jc w:val="center"/>
              <w:rPr>
                <w:rFonts w:asciiTheme="majorHAnsi" w:hAnsiTheme="majorHAnsi" w:cs="Times New"/>
                <w:b/>
                <w:color w:val="221E1F"/>
                <w:sz w:val="24"/>
                <w:szCs w:val="24"/>
              </w:rPr>
            </w:pPr>
            <w:r>
              <w:rPr>
                <w:rFonts w:asciiTheme="majorHAnsi" w:hAnsiTheme="majorHAnsi" w:cs="Times New"/>
                <w:b/>
                <w:color w:val="221E1F"/>
                <w:sz w:val="24"/>
                <w:szCs w:val="24"/>
              </w:rPr>
              <w:t>Iznos (EUR)</w:t>
            </w:r>
          </w:p>
        </w:tc>
      </w:tr>
      <w:tr w:rsidR="005C341F" w14:paraId="41D58F20" w14:textId="77777777">
        <w:tc>
          <w:tcPr>
            <w:tcW w:w="573" w:type="dxa"/>
            <w:vAlign w:val="center"/>
          </w:tcPr>
          <w:p w14:paraId="3B16A70C" w14:textId="77777777" w:rsidR="005C341F" w:rsidRDefault="00000000">
            <w:pPr>
              <w:jc w:val="center"/>
              <w:rPr>
                <w:rFonts w:asciiTheme="majorHAnsi" w:hAnsiTheme="majorHAnsi" w:cs="Times New"/>
                <w:sz w:val="24"/>
                <w:szCs w:val="24"/>
              </w:rPr>
            </w:pPr>
            <w:r>
              <w:rPr>
                <w:rFonts w:asciiTheme="majorHAnsi" w:hAnsiTheme="majorHAnsi" w:cs="Times New"/>
                <w:sz w:val="24"/>
                <w:szCs w:val="24"/>
              </w:rPr>
              <w:t>1.</w:t>
            </w:r>
          </w:p>
        </w:tc>
        <w:tc>
          <w:tcPr>
            <w:tcW w:w="5698" w:type="dxa"/>
            <w:vAlign w:val="center"/>
          </w:tcPr>
          <w:p w14:paraId="6F134D60" w14:textId="77777777" w:rsidR="005C341F" w:rsidRDefault="00000000">
            <w:pPr>
              <w:rPr>
                <w:rFonts w:asciiTheme="majorHAnsi" w:hAnsiTheme="majorHAnsi" w:cs="Times New"/>
                <w:sz w:val="24"/>
                <w:szCs w:val="24"/>
              </w:rPr>
            </w:pPr>
            <w:r>
              <w:rPr>
                <w:rFonts w:asciiTheme="majorHAnsi" w:hAnsiTheme="majorHAnsi" w:cs="Times New"/>
                <w:sz w:val="24"/>
                <w:szCs w:val="24"/>
              </w:rPr>
              <w:t>Tekuće održavanje morske obale (dohranjivanje plaža pijeskom, postavljanje rukohvata, održavanje uređaja i opreme, čišćenje udaljenih plaža i dr.)</w:t>
            </w:r>
          </w:p>
        </w:tc>
        <w:tc>
          <w:tcPr>
            <w:tcW w:w="1695" w:type="dxa"/>
            <w:vAlign w:val="center"/>
          </w:tcPr>
          <w:p w14:paraId="528C49CB"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420.010,70</w:t>
            </w:r>
          </w:p>
        </w:tc>
        <w:tc>
          <w:tcPr>
            <w:tcW w:w="1663" w:type="dxa"/>
            <w:vAlign w:val="center"/>
          </w:tcPr>
          <w:p w14:paraId="6AF7DC91"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55.745,00</w:t>
            </w:r>
          </w:p>
        </w:tc>
      </w:tr>
      <w:tr w:rsidR="005C341F" w14:paraId="2B4384B4" w14:textId="77777777">
        <w:tc>
          <w:tcPr>
            <w:tcW w:w="573" w:type="dxa"/>
            <w:vAlign w:val="center"/>
          </w:tcPr>
          <w:p w14:paraId="38E0A08F" w14:textId="77777777" w:rsidR="005C341F" w:rsidRDefault="00000000">
            <w:pPr>
              <w:jc w:val="center"/>
              <w:rPr>
                <w:rFonts w:asciiTheme="majorHAnsi" w:hAnsiTheme="majorHAnsi" w:cs="Times New"/>
                <w:sz w:val="24"/>
                <w:szCs w:val="24"/>
              </w:rPr>
            </w:pPr>
            <w:r>
              <w:rPr>
                <w:rFonts w:asciiTheme="majorHAnsi" w:hAnsiTheme="majorHAnsi" w:cs="Times New"/>
                <w:sz w:val="24"/>
                <w:szCs w:val="24"/>
              </w:rPr>
              <w:t>2.</w:t>
            </w:r>
          </w:p>
        </w:tc>
        <w:tc>
          <w:tcPr>
            <w:tcW w:w="5698" w:type="dxa"/>
            <w:vAlign w:val="center"/>
          </w:tcPr>
          <w:p w14:paraId="1C7C50F0" w14:textId="77777777" w:rsidR="005C341F" w:rsidRDefault="00000000">
            <w:pPr>
              <w:rPr>
                <w:rFonts w:asciiTheme="majorHAnsi" w:hAnsiTheme="majorHAnsi" w:cs="Times New"/>
                <w:sz w:val="24"/>
                <w:szCs w:val="24"/>
              </w:rPr>
            </w:pPr>
            <w:r>
              <w:rPr>
                <w:rFonts w:asciiTheme="majorHAnsi" w:hAnsiTheme="majorHAnsi" w:cs="Times New"/>
                <w:sz w:val="24"/>
                <w:szCs w:val="24"/>
              </w:rPr>
              <w:t>Postavljanje kemijskih WC-a na pomorskom dobru</w:t>
            </w:r>
          </w:p>
        </w:tc>
        <w:tc>
          <w:tcPr>
            <w:tcW w:w="1695" w:type="dxa"/>
            <w:vAlign w:val="center"/>
          </w:tcPr>
          <w:p w14:paraId="6839C97F"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51.234,60</w:t>
            </w:r>
          </w:p>
        </w:tc>
        <w:tc>
          <w:tcPr>
            <w:tcW w:w="1663" w:type="dxa"/>
            <w:vAlign w:val="center"/>
          </w:tcPr>
          <w:p w14:paraId="0BF403D4"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6.800,00</w:t>
            </w:r>
          </w:p>
        </w:tc>
      </w:tr>
      <w:tr w:rsidR="005C341F" w14:paraId="5466B220" w14:textId="77777777">
        <w:tc>
          <w:tcPr>
            <w:tcW w:w="573" w:type="dxa"/>
            <w:vAlign w:val="center"/>
          </w:tcPr>
          <w:p w14:paraId="5846B911" w14:textId="77777777" w:rsidR="005C341F" w:rsidRDefault="00000000">
            <w:pPr>
              <w:jc w:val="center"/>
              <w:rPr>
                <w:rFonts w:asciiTheme="majorHAnsi" w:hAnsiTheme="majorHAnsi" w:cs="Times New"/>
                <w:sz w:val="24"/>
                <w:szCs w:val="24"/>
              </w:rPr>
            </w:pPr>
            <w:r>
              <w:rPr>
                <w:rFonts w:asciiTheme="majorHAnsi" w:hAnsiTheme="majorHAnsi" w:cs="Times New"/>
                <w:sz w:val="24"/>
                <w:szCs w:val="24"/>
              </w:rPr>
              <w:t>3.</w:t>
            </w:r>
          </w:p>
        </w:tc>
        <w:tc>
          <w:tcPr>
            <w:tcW w:w="5698" w:type="dxa"/>
            <w:vAlign w:val="center"/>
          </w:tcPr>
          <w:p w14:paraId="2C36AC8D" w14:textId="77777777" w:rsidR="005C341F" w:rsidRDefault="00000000">
            <w:pPr>
              <w:rPr>
                <w:rFonts w:asciiTheme="majorHAnsi" w:hAnsiTheme="majorHAnsi" w:cs="Times New"/>
                <w:sz w:val="24"/>
                <w:szCs w:val="24"/>
              </w:rPr>
            </w:pPr>
            <w:r>
              <w:rPr>
                <w:rFonts w:asciiTheme="majorHAnsi" w:hAnsiTheme="majorHAnsi" w:cs="Times New"/>
                <w:sz w:val="24"/>
                <w:szCs w:val="24"/>
              </w:rPr>
              <w:t>Radovi na pojačanom uređenju pomorskog dobra (uređenje i popravak sunčališta, potpornih zidova, obalnog puta, prilaza morskoj obali i sl.)</w:t>
            </w:r>
          </w:p>
        </w:tc>
        <w:tc>
          <w:tcPr>
            <w:tcW w:w="1695" w:type="dxa"/>
            <w:vAlign w:val="center"/>
          </w:tcPr>
          <w:p w14:paraId="48865BDD"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1.494.995,49</w:t>
            </w:r>
          </w:p>
        </w:tc>
        <w:tc>
          <w:tcPr>
            <w:tcW w:w="1663" w:type="dxa"/>
            <w:vAlign w:val="center"/>
          </w:tcPr>
          <w:p w14:paraId="657F016D"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198.420,00</w:t>
            </w:r>
          </w:p>
        </w:tc>
      </w:tr>
      <w:tr w:rsidR="005C341F" w14:paraId="77EE26ED" w14:textId="77777777">
        <w:tc>
          <w:tcPr>
            <w:tcW w:w="573" w:type="dxa"/>
            <w:vAlign w:val="center"/>
          </w:tcPr>
          <w:p w14:paraId="02CC5550" w14:textId="77777777" w:rsidR="005C341F" w:rsidRDefault="00000000">
            <w:pPr>
              <w:jc w:val="center"/>
              <w:rPr>
                <w:rFonts w:asciiTheme="majorHAnsi" w:hAnsiTheme="majorHAnsi" w:cs="Times New"/>
                <w:sz w:val="24"/>
                <w:szCs w:val="24"/>
              </w:rPr>
            </w:pPr>
            <w:r>
              <w:rPr>
                <w:rFonts w:asciiTheme="majorHAnsi" w:hAnsiTheme="majorHAnsi" w:cs="Times New"/>
                <w:sz w:val="24"/>
                <w:szCs w:val="24"/>
              </w:rPr>
              <w:t>4.</w:t>
            </w:r>
          </w:p>
        </w:tc>
        <w:tc>
          <w:tcPr>
            <w:tcW w:w="5698" w:type="dxa"/>
            <w:vAlign w:val="center"/>
          </w:tcPr>
          <w:p w14:paraId="73F18FD0" w14:textId="77777777" w:rsidR="005C341F" w:rsidRDefault="00000000">
            <w:pPr>
              <w:rPr>
                <w:rFonts w:asciiTheme="majorHAnsi" w:hAnsiTheme="majorHAnsi" w:cs="Times New"/>
                <w:sz w:val="24"/>
                <w:szCs w:val="24"/>
              </w:rPr>
            </w:pPr>
            <w:r>
              <w:rPr>
                <w:rFonts w:asciiTheme="majorHAnsi" w:hAnsiTheme="majorHAnsi" w:cs="Times New"/>
                <w:sz w:val="24"/>
                <w:szCs w:val="24"/>
              </w:rPr>
              <w:t xml:space="preserve">Investicije na lučkom području (kapitalna donacija ŽLU za izradu projektne dokumentacije uređenja luke Malinska i kapitalna donacija Komunalnom društvu </w:t>
            </w:r>
            <w:proofErr w:type="spellStart"/>
            <w:r>
              <w:rPr>
                <w:rFonts w:asciiTheme="majorHAnsi" w:hAnsiTheme="majorHAnsi" w:cs="Times New"/>
                <w:sz w:val="24"/>
                <w:szCs w:val="24"/>
              </w:rPr>
              <w:t>Dubašnica</w:t>
            </w:r>
            <w:proofErr w:type="spellEnd"/>
            <w:r>
              <w:rPr>
                <w:rFonts w:asciiTheme="majorHAnsi" w:hAnsiTheme="majorHAnsi" w:cs="Times New"/>
                <w:sz w:val="24"/>
                <w:szCs w:val="24"/>
              </w:rPr>
              <w:t xml:space="preserve"> d.o.o. za rekonstrukciju lukobrana u Malinskoj)</w:t>
            </w:r>
          </w:p>
        </w:tc>
        <w:tc>
          <w:tcPr>
            <w:tcW w:w="1695" w:type="dxa"/>
            <w:vAlign w:val="center"/>
          </w:tcPr>
          <w:p w14:paraId="15270FC9"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1.354.175,69</w:t>
            </w:r>
          </w:p>
        </w:tc>
        <w:tc>
          <w:tcPr>
            <w:tcW w:w="1663" w:type="dxa"/>
            <w:vAlign w:val="center"/>
          </w:tcPr>
          <w:p w14:paraId="169547BF"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179.730,00</w:t>
            </w:r>
          </w:p>
        </w:tc>
      </w:tr>
      <w:tr w:rsidR="005C341F" w14:paraId="6793D67B" w14:textId="77777777">
        <w:tc>
          <w:tcPr>
            <w:tcW w:w="573" w:type="dxa"/>
            <w:vAlign w:val="center"/>
          </w:tcPr>
          <w:p w14:paraId="06584950" w14:textId="77777777" w:rsidR="005C341F" w:rsidRDefault="00000000">
            <w:pPr>
              <w:jc w:val="center"/>
              <w:rPr>
                <w:rFonts w:asciiTheme="majorHAnsi" w:hAnsiTheme="majorHAnsi" w:cs="Times New"/>
                <w:sz w:val="24"/>
                <w:szCs w:val="24"/>
              </w:rPr>
            </w:pPr>
            <w:r>
              <w:rPr>
                <w:rFonts w:asciiTheme="majorHAnsi" w:hAnsiTheme="majorHAnsi" w:cs="Times New"/>
                <w:sz w:val="24"/>
                <w:szCs w:val="24"/>
              </w:rPr>
              <w:t>5.</w:t>
            </w:r>
          </w:p>
        </w:tc>
        <w:tc>
          <w:tcPr>
            <w:tcW w:w="5698" w:type="dxa"/>
            <w:vAlign w:val="center"/>
          </w:tcPr>
          <w:p w14:paraId="0401353E" w14:textId="77777777" w:rsidR="005C341F" w:rsidRDefault="00000000">
            <w:pPr>
              <w:rPr>
                <w:rFonts w:asciiTheme="majorHAnsi" w:hAnsiTheme="majorHAnsi" w:cs="Times New"/>
                <w:sz w:val="24"/>
                <w:szCs w:val="24"/>
              </w:rPr>
            </w:pPr>
            <w:r>
              <w:rPr>
                <w:rFonts w:asciiTheme="majorHAnsi" w:hAnsiTheme="majorHAnsi" w:cs="Times New"/>
                <w:sz w:val="24"/>
                <w:szCs w:val="24"/>
              </w:rPr>
              <w:t>Komunalna oprema na pomorskom dobru</w:t>
            </w:r>
          </w:p>
        </w:tc>
        <w:tc>
          <w:tcPr>
            <w:tcW w:w="1695" w:type="dxa"/>
            <w:vAlign w:val="center"/>
          </w:tcPr>
          <w:p w14:paraId="3D644153"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70.070,85</w:t>
            </w:r>
          </w:p>
        </w:tc>
        <w:tc>
          <w:tcPr>
            <w:tcW w:w="1663" w:type="dxa"/>
            <w:vAlign w:val="center"/>
          </w:tcPr>
          <w:p w14:paraId="4A2AD0AA" w14:textId="77777777" w:rsidR="005C341F" w:rsidRDefault="00000000">
            <w:pPr>
              <w:jc w:val="right"/>
              <w:rPr>
                <w:rFonts w:asciiTheme="majorHAnsi" w:hAnsiTheme="majorHAnsi" w:cs="Times New"/>
                <w:sz w:val="24"/>
                <w:szCs w:val="24"/>
              </w:rPr>
            </w:pPr>
            <w:r>
              <w:rPr>
                <w:rFonts w:asciiTheme="majorHAnsi" w:hAnsiTheme="majorHAnsi" w:cs="Times New"/>
                <w:sz w:val="24"/>
                <w:szCs w:val="24"/>
              </w:rPr>
              <w:t>9.300,00</w:t>
            </w:r>
          </w:p>
        </w:tc>
      </w:tr>
      <w:tr w:rsidR="005C341F" w14:paraId="40507409" w14:textId="77777777">
        <w:tc>
          <w:tcPr>
            <w:tcW w:w="6271" w:type="dxa"/>
            <w:gridSpan w:val="2"/>
            <w:vAlign w:val="center"/>
          </w:tcPr>
          <w:p w14:paraId="2D982CE3" w14:textId="77777777" w:rsidR="005C341F" w:rsidRDefault="00000000">
            <w:pPr>
              <w:jc w:val="right"/>
              <w:rPr>
                <w:rFonts w:asciiTheme="majorHAnsi" w:hAnsiTheme="majorHAnsi" w:cs="Times New"/>
                <w:b/>
                <w:sz w:val="24"/>
                <w:szCs w:val="24"/>
              </w:rPr>
            </w:pPr>
            <w:r>
              <w:rPr>
                <w:rFonts w:asciiTheme="majorHAnsi" w:hAnsiTheme="majorHAnsi" w:cs="Times New"/>
                <w:b/>
                <w:sz w:val="24"/>
                <w:szCs w:val="24"/>
              </w:rPr>
              <w:t>UKUPNO:</w:t>
            </w:r>
          </w:p>
        </w:tc>
        <w:tc>
          <w:tcPr>
            <w:tcW w:w="1695" w:type="dxa"/>
            <w:vAlign w:val="center"/>
          </w:tcPr>
          <w:p w14:paraId="41FED223" w14:textId="77777777" w:rsidR="005C341F" w:rsidRDefault="00000000">
            <w:pPr>
              <w:jc w:val="right"/>
              <w:rPr>
                <w:rFonts w:asciiTheme="majorHAnsi" w:hAnsiTheme="majorHAnsi" w:cs="Times New"/>
                <w:b/>
                <w:sz w:val="24"/>
                <w:szCs w:val="24"/>
              </w:rPr>
            </w:pPr>
            <w:r>
              <w:rPr>
                <w:rFonts w:asciiTheme="majorHAnsi" w:hAnsiTheme="majorHAnsi" w:cs="Times New"/>
                <w:b/>
                <w:sz w:val="24"/>
                <w:szCs w:val="24"/>
              </w:rPr>
              <w:t>3.390.487,33</w:t>
            </w:r>
          </w:p>
        </w:tc>
        <w:tc>
          <w:tcPr>
            <w:tcW w:w="1663" w:type="dxa"/>
            <w:vAlign w:val="center"/>
          </w:tcPr>
          <w:p w14:paraId="67D0621A" w14:textId="77777777" w:rsidR="005C341F" w:rsidRDefault="00000000">
            <w:pPr>
              <w:jc w:val="right"/>
              <w:rPr>
                <w:rFonts w:asciiTheme="majorHAnsi" w:hAnsiTheme="majorHAnsi" w:cs="Times New"/>
                <w:b/>
                <w:sz w:val="24"/>
                <w:szCs w:val="24"/>
              </w:rPr>
            </w:pPr>
            <w:r>
              <w:rPr>
                <w:rFonts w:asciiTheme="majorHAnsi" w:hAnsiTheme="majorHAnsi" w:cs="Times New"/>
                <w:b/>
                <w:sz w:val="24"/>
                <w:szCs w:val="24"/>
              </w:rPr>
              <w:t>449.995,00</w:t>
            </w:r>
          </w:p>
        </w:tc>
      </w:tr>
    </w:tbl>
    <w:p w14:paraId="69804905" w14:textId="77777777" w:rsidR="005C341F" w:rsidRDefault="005C341F">
      <w:pPr>
        <w:spacing w:after="0" w:line="240" w:lineRule="auto"/>
        <w:rPr>
          <w:rFonts w:asciiTheme="majorHAnsi" w:hAnsiTheme="majorHAnsi" w:cs="Times New"/>
          <w:color w:val="221E1F"/>
          <w:sz w:val="24"/>
          <w:szCs w:val="24"/>
        </w:rPr>
      </w:pPr>
    </w:p>
    <w:p w14:paraId="797E3727" w14:textId="77777777" w:rsidR="005C341F" w:rsidRDefault="005C341F">
      <w:pPr>
        <w:spacing w:after="0" w:line="240" w:lineRule="auto"/>
        <w:rPr>
          <w:rFonts w:asciiTheme="majorHAnsi" w:hAnsiTheme="majorHAnsi" w:cs="Times New"/>
          <w:color w:val="221E1F"/>
          <w:sz w:val="24"/>
          <w:szCs w:val="24"/>
        </w:rPr>
      </w:pPr>
    </w:p>
    <w:p w14:paraId="7A16DA69" w14:textId="77777777" w:rsidR="005C341F" w:rsidRDefault="00000000">
      <w:pPr>
        <w:numPr>
          <w:ilvl w:val="0"/>
          <w:numId w:val="20"/>
        </w:numPr>
        <w:spacing w:after="120" w:line="240" w:lineRule="auto"/>
        <w:ind w:left="1077"/>
        <w:rPr>
          <w:rFonts w:asciiTheme="majorHAnsi" w:hAnsiTheme="majorHAnsi" w:cstheme="minorHAnsi"/>
          <w:b/>
          <w:color w:val="221E1F"/>
          <w:sz w:val="24"/>
          <w:szCs w:val="24"/>
        </w:rPr>
      </w:pPr>
      <w:r>
        <w:rPr>
          <w:rFonts w:asciiTheme="majorHAnsi" w:eastAsia="Times New Roman" w:hAnsiTheme="majorHAnsi" w:cstheme="minorHAnsi"/>
          <w:b/>
          <w:sz w:val="24"/>
          <w:szCs w:val="24"/>
        </w:rPr>
        <w:t xml:space="preserve">POSTUPAK IZDAVANJA KONCESIJSKOG ODOBRENJA </w:t>
      </w:r>
    </w:p>
    <w:p w14:paraId="59C5E91A" w14:textId="77777777" w:rsidR="005C341F" w:rsidRDefault="005C341F">
      <w:pPr>
        <w:spacing w:after="0" w:line="240" w:lineRule="auto"/>
        <w:ind w:left="720"/>
        <w:jc w:val="both"/>
        <w:rPr>
          <w:rFonts w:asciiTheme="majorHAnsi" w:eastAsia="Times New Roman" w:hAnsiTheme="majorHAnsi" w:cstheme="minorHAnsi"/>
          <w:b/>
          <w:sz w:val="24"/>
          <w:szCs w:val="24"/>
        </w:rPr>
      </w:pPr>
    </w:p>
    <w:p w14:paraId="188C6722" w14:textId="41320B97" w:rsidR="005C341F" w:rsidRDefault="00000000">
      <w:pPr>
        <w:spacing w:after="0" w:line="240" w:lineRule="auto"/>
        <w:jc w:val="center"/>
        <w:rPr>
          <w:rFonts w:asciiTheme="majorHAnsi" w:eastAsia="Times New Roman" w:hAnsiTheme="majorHAnsi" w:cstheme="minorHAnsi"/>
          <w:b/>
          <w:sz w:val="24"/>
          <w:szCs w:val="24"/>
        </w:rPr>
      </w:pPr>
      <w:r>
        <w:rPr>
          <w:rFonts w:asciiTheme="majorHAnsi" w:eastAsia="Times New Roman" w:hAnsiTheme="majorHAnsi" w:cstheme="minorHAnsi"/>
          <w:b/>
          <w:sz w:val="24"/>
          <w:szCs w:val="24"/>
        </w:rPr>
        <w:t xml:space="preserve">Članak </w:t>
      </w:r>
      <w:r w:rsidR="004D5A0E">
        <w:rPr>
          <w:rFonts w:asciiTheme="majorHAnsi" w:eastAsia="Times New Roman" w:hAnsiTheme="majorHAnsi" w:cstheme="minorHAnsi"/>
          <w:b/>
          <w:sz w:val="24"/>
          <w:szCs w:val="24"/>
        </w:rPr>
        <w:t>5</w:t>
      </w:r>
      <w:r>
        <w:rPr>
          <w:rFonts w:asciiTheme="majorHAnsi" w:eastAsia="Times New Roman" w:hAnsiTheme="majorHAnsi" w:cstheme="minorHAnsi"/>
          <w:b/>
          <w:sz w:val="24"/>
          <w:szCs w:val="24"/>
        </w:rPr>
        <w:t>.</w:t>
      </w:r>
    </w:p>
    <w:p w14:paraId="5D5D5147"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Sve fizičke i pravne osobe koje koriste pomorsko dobro, građevine i druge objekte na pomorskom dobru koji su trajno povezani s pomorskim dobrom moraju iste koristiti na način da ne isključuju niti ograničuju opću upotrebu pomorskog dobra, odnosno moraju omogućiti da svatko ima pravo služiti se pomorskim dobrom sukladno njegovoj prirodi i namjeni.</w:t>
      </w:r>
    </w:p>
    <w:p w14:paraId="6003E709" w14:textId="77777777" w:rsidR="005C341F" w:rsidRDefault="005C341F">
      <w:pPr>
        <w:spacing w:after="0" w:line="240" w:lineRule="auto"/>
        <w:jc w:val="both"/>
        <w:rPr>
          <w:rFonts w:asciiTheme="majorHAnsi" w:eastAsia="Times New Roman" w:hAnsiTheme="majorHAnsi" w:cstheme="minorHAnsi"/>
          <w:sz w:val="24"/>
          <w:szCs w:val="24"/>
        </w:rPr>
      </w:pPr>
    </w:p>
    <w:p w14:paraId="10C320BC" w14:textId="77777777" w:rsidR="005C341F" w:rsidRDefault="00000000">
      <w:pPr>
        <w:tabs>
          <w:tab w:val="left" w:pos="709"/>
        </w:tabs>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bCs/>
          <w:sz w:val="24"/>
          <w:szCs w:val="24"/>
        </w:rPr>
        <w:t xml:space="preserve">Koncesijsko odobrenje za obavljanje djelatnosti na pomorskom dobru </w:t>
      </w:r>
      <w:r>
        <w:rPr>
          <w:rFonts w:asciiTheme="majorHAnsi" w:eastAsia="Times New Roman" w:hAnsiTheme="majorHAnsi" w:cstheme="minorHAnsi"/>
          <w:sz w:val="24"/>
          <w:szCs w:val="24"/>
        </w:rPr>
        <w:t>koje ne isključuje niti ograničava opću upotrebu pomorskog dobra</w:t>
      </w:r>
      <w:r>
        <w:rPr>
          <w:rFonts w:asciiTheme="majorHAnsi" w:eastAsia="Times New Roman" w:hAnsiTheme="majorHAnsi" w:cstheme="minorHAnsi"/>
          <w:bCs/>
          <w:sz w:val="24"/>
          <w:szCs w:val="24"/>
        </w:rPr>
        <w:t xml:space="preserve"> na području Općine Malinska-</w:t>
      </w:r>
      <w:proofErr w:type="spellStart"/>
      <w:r>
        <w:rPr>
          <w:rFonts w:asciiTheme="majorHAnsi" w:eastAsia="Times New Roman" w:hAnsiTheme="majorHAnsi" w:cstheme="minorHAnsi"/>
          <w:bCs/>
          <w:sz w:val="24"/>
          <w:szCs w:val="24"/>
        </w:rPr>
        <w:t>Dubašnica</w:t>
      </w:r>
      <w:proofErr w:type="spellEnd"/>
      <w:r>
        <w:rPr>
          <w:rFonts w:asciiTheme="majorHAnsi" w:eastAsia="Times New Roman" w:hAnsiTheme="majorHAnsi" w:cstheme="minorHAnsi"/>
          <w:bCs/>
          <w:sz w:val="24"/>
          <w:szCs w:val="24"/>
        </w:rPr>
        <w:t xml:space="preserve"> izdaje </w:t>
      </w:r>
      <w:r>
        <w:rPr>
          <w:rFonts w:asciiTheme="majorHAnsi" w:eastAsia="Times New Roman" w:hAnsiTheme="majorHAnsi" w:cstheme="minorHAnsi"/>
          <w:bCs/>
          <w:sz w:val="24"/>
          <w:szCs w:val="24"/>
        </w:rPr>
        <w:lastRenderedPageBreak/>
        <w:t xml:space="preserve">Vijeće za davanje koncesijskog odobrenja </w:t>
      </w:r>
      <w:r>
        <w:rPr>
          <w:rFonts w:asciiTheme="majorHAnsi" w:eastAsia="Times New Roman" w:hAnsiTheme="majorHAnsi" w:cstheme="minorHAnsi"/>
          <w:sz w:val="24"/>
          <w:szCs w:val="24"/>
        </w:rPr>
        <w:t xml:space="preserve">na temelju zahtjeva, a sukladno odredbama Uredbe. Podnositelj zahtjeva može biti svaka pravna ili fizička osoba - obrtnik registriran za obavljanje djelatnosti za koju se traži koncesijsko odobrenje. </w:t>
      </w:r>
    </w:p>
    <w:p w14:paraId="28CB8552" w14:textId="77777777" w:rsidR="005C341F" w:rsidRDefault="005C341F">
      <w:pPr>
        <w:tabs>
          <w:tab w:val="left" w:pos="709"/>
        </w:tabs>
        <w:spacing w:after="0" w:line="240" w:lineRule="auto"/>
        <w:jc w:val="both"/>
        <w:rPr>
          <w:rFonts w:asciiTheme="majorHAnsi" w:eastAsia="Times New Roman" w:hAnsiTheme="majorHAnsi" w:cstheme="minorHAnsi"/>
          <w:sz w:val="24"/>
          <w:szCs w:val="24"/>
        </w:rPr>
      </w:pPr>
    </w:p>
    <w:p w14:paraId="22C65709" w14:textId="0FA07BAC"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Zahtjev za davanje koncesijskog odobrenja podnosi se Vijeće za davanje koncesijskog odobrenja na pomorskom dobru Općine Malinska-</w:t>
      </w:r>
      <w:proofErr w:type="spellStart"/>
      <w:r>
        <w:rPr>
          <w:rFonts w:asciiTheme="majorHAnsi" w:eastAsia="Times New Roman" w:hAnsiTheme="majorHAnsi" w:cstheme="minorHAnsi"/>
          <w:sz w:val="24"/>
          <w:szCs w:val="24"/>
        </w:rPr>
        <w:t>Dubašnica</w:t>
      </w:r>
      <w:proofErr w:type="spellEnd"/>
      <w:r>
        <w:rPr>
          <w:rFonts w:asciiTheme="majorHAnsi" w:eastAsia="Times New Roman" w:hAnsiTheme="majorHAnsi" w:cstheme="minorHAnsi"/>
          <w:sz w:val="24"/>
          <w:szCs w:val="24"/>
        </w:rPr>
        <w:t xml:space="preserve">, na obrascu propisanom Uredbom (Prilog 3.), osobnom dostavom ili </w:t>
      </w:r>
      <w:r>
        <w:rPr>
          <w:rFonts w:asciiTheme="majorHAnsi" w:eastAsia="Times New Roman" w:hAnsiTheme="majorHAnsi" w:cstheme="minorHAnsi"/>
          <w:sz w:val="24"/>
          <w:szCs w:val="24"/>
          <w:shd w:val="clear" w:color="auto" w:fill="FFFFFF"/>
        </w:rPr>
        <w:t xml:space="preserve">poštom, </w:t>
      </w:r>
      <w:r>
        <w:rPr>
          <w:rFonts w:asciiTheme="majorHAnsi" w:eastAsia="Times New Roman" w:hAnsiTheme="majorHAnsi" w:cstheme="minorHAnsi"/>
          <w:sz w:val="24"/>
          <w:szCs w:val="24"/>
        </w:rPr>
        <w:t>a uz ispunjeni zahtjev obvezno se prilažu:</w:t>
      </w:r>
    </w:p>
    <w:p w14:paraId="2E05A93F" w14:textId="77777777" w:rsidR="005C341F" w:rsidRDefault="005C341F">
      <w:pPr>
        <w:spacing w:after="0" w:line="240" w:lineRule="auto"/>
        <w:jc w:val="both"/>
        <w:rPr>
          <w:rFonts w:asciiTheme="majorHAnsi" w:eastAsia="Times New Roman" w:hAnsiTheme="majorHAnsi" w:cstheme="minorHAnsi"/>
          <w:sz w:val="24"/>
          <w:szCs w:val="24"/>
        </w:rPr>
      </w:pPr>
    </w:p>
    <w:p w14:paraId="2A3A9979" w14:textId="77777777" w:rsidR="005C341F" w:rsidRDefault="00000000">
      <w:pPr>
        <w:numPr>
          <w:ilvl w:val="0"/>
          <w:numId w:val="30"/>
        </w:num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dokaz o registraciji djelatnosti za koju se traži davanje koncesijskog odobrenja (izvod iz sudskog registra, obrtnica, </w:t>
      </w:r>
      <w:proofErr w:type="spellStart"/>
      <w:r>
        <w:rPr>
          <w:rFonts w:asciiTheme="majorHAnsi" w:eastAsia="Times New Roman" w:hAnsiTheme="majorHAnsi" w:cstheme="minorHAnsi"/>
          <w:sz w:val="24"/>
          <w:szCs w:val="24"/>
        </w:rPr>
        <w:t>itd</w:t>
      </w:r>
      <w:proofErr w:type="spellEnd"/>
      <w:r>
        <w:rPr>
          <w:rFonts w:asciiTheme="majorHAnsi" w:eastAsia="Times New Roman" w:hAnsiTheme="majorHAnsi" w:cstheme="minorHAnsi"/>
          <w:sz w:val="24"/>
          <w:szCs w:val="24"/>
        </w:rPr>
        <w:t>)</w:t>
      </w:r>
    </w:p>
    <w:p w14:paraId="251E8AA7" w14:textId="77777777" w:rsidR="005C341F" w:rsidRDefault="00000000">
      <w:pPr>
        <w:numPr>
          <w:ilvl w:val="0"/>
          <w:numId w:val="30"/>
        </w:num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dokaz o vlasništvu sredstava s kojima obavlja djelatnost na pomorskom dobru ili dokaz o pravnoj osnovi korištenja sredstava (u slučaju da podnositelj zahtjeva za koncesijsko odobrenje nije vlasnik navedenih sredstava),</w:t>
      </w:r>
    </w:p>
    <w:p w14:paraId="1FB9FE63" w14:textId="77777777" w:rsidR="005C341F" w:rsidRDefault="00000000">
      <w:pPr>
        <w:numPr>
          <w:ilvl w:val="0"/>
          <w:numId w:val="30"/>
        </w:num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dokaz o sposobnosti brodice za plovidbu (samo u slučaju kada se odobrenje traži za obavljanje djelatnosti s brodicom/brodom).</w:t>
      </w:r>
    </w:p>
    <w:p w14:paraId="3D60EE03" w14:textId="77777777" w:rsidR="005C341F" w:rsidRDefault="005C341F">
      <w:pPr>
        <w:spacing w:after="0" w:line="240" w:lineRule="auto"/>
        <w:ind w:firstLine="708"/>
        <w:jc w:val="both"/>
        <w:rPr>
          <w:rFonts w:asciiTheme="majorHAnsi" w:eastAsia="Times New Roman" w:hAnsiTheme="majorHAnsi" w:cstheme="minorHAnsi"/>
          <w:sz w:val="24"/>
          <w:szCs w:val="24"/>
        </w:rPr>
      </w:pPr>
    </w:p>
    <w:p w14:paraId="4A97BEF5" w14:textId="06FEC7A0" w:rsidR="005C341F" w:rsidRDefault="00000000">
      <w:pPr>
        <w:spacing w:after="0" w:line="240" w:lineRule="auto"/>
        <w:jc w:val="center"/>
        <w:rPr>
          <w:rFonts w:asciiTheme="majorHAnsi" w:eastAsia="Times New Roman" w:hAnsiTheme="majorHAnsi" w:cstheme="minorHAnsi"/>
          <w:b/>
          <w:sz w:val="24"/>
          <w:szCs w:val="24"/>
        </w:rPr>
      </w:pPr>
      <w:r>
        <w:rPr>
          <w:rFonts w:asciiTheme="majorHAnsi" w:eastAsia="Times New Roman" w:hAnsiTheme="majorHAnsi" w:cstheme="minorHAnsi"/>
          <w:b/>
          <w:sz w:val="24"/>
          <w:szCs w:val="24"/>
        </w:rPr>
        <w:t xml:space="preserve">Članak </w:t>
      </w:r>
      <w:r w:rsidR="004D5A0E">
        <w:rPr>
          <w:rFonts w:asciiTheme="majorHAnsi" w:eastAsia="Times New Roman" w:hAnsiTheme="majorHAnsi" w:cstheme="minorHAnsi"/>
          <w:b/>
          <w:sz w:val="24"/>
          <w:szCs w:val="24"/>
        </w:rPr>
        <w:t>6</w:t>
      </w:r>
      <w:r>
        <w:rPr>
          <w:rFonts w:asciiTheme="majorHAnsi" w:eastAsia="Times New Roman" w:hAnsiTheme="majorHAnsi" w:cstheme="minorHAnsi"/>
          <w:b/>
          <w:sz w:val="24"/>
          <w:szCs w:val="24"/>
        </w:rPr>
        <w:t>.</w:t>
      </w:r>
    </w:p>
    <w:p w14:paraId="3A859CFD"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Nakon što je utvrđeno da je pojedini zahtjev za davanje koncesijskog odobrenja pravodoban, uredan i potpun, Vijeće pristupa odlučivanju o dodjeli koncesijskog odobrenja. </w:t>
      </w:r>
    </w:p>
    <w:p w14:paraId="32E46389" w14:textId="77777777" w:rsidR="005C341F" w:rsidRDefault="005C341F">
      <w:pPr>
        <w:spacing w:after="0" w:line="240" w:lineRule="auto"/>
        <w:jc w:val="both"/>
        <w:rPr>
          <w:rFonts w:asciiTheme="majorHAnsi" w:eastAsia="Times New Roman" w:hAnsiTheme="majorHAnsi" w:cstheme="minorHAnsi"/>
          <w:sz w:val="24"/>
          <w:szCs w:val="24"/>
        </w:rPr>
      </w:pPr>
    </w:p>
    <w:p w14:paraId="7ECB5F80"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U slučaju da se za istu mikrolokaciju zaprimi veći broj podnesenih zahtjeva koji udovoljavaju uvjetima za davanje koncesijskog odobrenja Vijeće će, prilikom rješavanja zahtjeva, prednost dati podnositelju zahtjeva koji je prvi podnio zahtjev. </w:t>
      </w:r>
    </w:p>
    <w:p w14:paraId="5B1B9E72" w14:textId="77777777" w:rsidR="005C341F" w:rsidRDefault="005C341F">
      <w:pPr>
        <w:spacing w:after="0" w:line="240" w:lineRule="auto"/>
        <w:jc w:val="both"/>
        <w:rPr>
          <w:rFonts w:asciiTheme="majorHAnsi" w:eastAsia="Times New Roman" w:hAnsiTheme="majorHAnsi" w:cstheme="minorHAnsi"/>
          <w:sz w:val="24"/>
          <w:szCs w:val="24"/>
        </w:rPr>
      </w:pPr>
    </w:p>
    <w:p w14:paraId="4D9A5973" w14:textId="11BE9CC8"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U slučaju da je zahtjev predan preporučeno ili ovlaštenom pružatelju poštanskih usluga, dan predaje pošti, odnosno ovlaštenom pruž</w:t>
      </w:r>
      <w:r w:rsidR="004D5A0E">
        <w:rPr>
          <w:rFonts w:asciiTheme="majorHAnsi" w:eastAsia="Times New Roman" w:hAnsiTheme="majorHAnsi" w:cstheme="minorHAnsi"/>
          <w:sz w:val="24"/>
          <w:szCs w:val="24"/>
        </w:rPr>
        <w:t>a</w:t>
      </w:r>
      <w:r>
        <w:rPr>
          <w:rFonts w:asciiTheme="majorHAnsi" w:eastAsia="Times New Roman" w:hAnsiTheme="majorHAnsi" w:cstheme="minorHAnsi"/>
          <w:sz w:val="24"/>
          <w:szCs w:val="24"/>
        </w:rPr>
        <w:t xml:space="preserve">telju poštanskih usluga, smatra se danom predaje tijelu kojem je upućen. </w:t>
      </w:r>
    </w:p>
    <w:p w14:paraId="3566690B" w14:textId="77777777" w:rsidR="005C341F" w:rsidRDefault="005C341F">
      <w:pPr>
        <w:spacing w:after="0" w:line="240" w:lineRule="auto"/>
        <w:jc w:val="both"/>
        <w:rPr>
          <w:rFonts w:asciiTheme="majorHAnsi" w:eastAsia="Times New Roman" w:hAnsiTheme="majorHAnsi" w:cstheme="minorHAnsi"/>
          <w:sz w:val="24"/>
          <w:szCs w:val="24"/>
        </w:rPr>
      </w:pPr>
    </w:p>
    <w:p w14:paraId="34D8A3CA"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U slučaju osobne dostave ili obične dostave putem pošte ili ovlaštenog pružatelja poštanskih usluga, službenik koji zaprimi pismeno na njemu pored datuma zaprimanja navodi i sat i minutu predaje pismena službeniku, a sve kako bi Vijeće nedvojbeno utvrdilo kada je određeni zahtjev zaprimljen. </w:t>
      </w:r>
    </w:p>
    <w:p w14:paraId="76103939" w14:textId="77777777" w:rsidR="005C341F" w:rsidRDefault="005C341F">
      <w:pPr>
        <w:spacing w:after="0" w:line="240" w:lineRule="auto"/>
        <w:jc w:val="both"/>
        <w:rPr>
          <w:rFonts w:asciiTheme="majorHAnsi" w:eastAsia="Times New Roman" w:hAnsiTheme="majorHAnsi" w:cstheme="minorHAnsi"/>
          <w:sz w:val="24"/>
          <w:szCs w:val="24"/>
        </w:rPr>
      </w:pPr>
    </w:p>
    <w:p w14:paraId="67702C6D"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Svi zahtjevi za davanje koncesijskog odobrenja koji budu podneseni prije stupanja na snagu ovog Plana, imaju se smatrati preuranjenima i Vijeće će takve zahtjeve rješenjem odbaciti. </w:t>
      </w:r>
    </w:p>
    <w:p w14:paraId="55654104" w14:textId="77777777" w:rsidR="005C341F" w:rsidRDefault="005C341F">
      <w:pPr>
        <w:spacing w:after="0" w:line="240" w:lineRule="auto"/>
        <w:ind w:firstLine="708"/>
        <w:jc w:val="both"/>
        <w:rPr>
          <w:rFonts w:asciiTheme="majorHAnsi" w:eastAsia="Times New Roman" w:hAnsiTheme="majorHAnsi" w:cstheme="minorHAnsi"/>
          <w:sz w:val="24"/>
          <w:szCs w:val="24"/>
        </w:rPr>
      </w:pPr>
    </w:p>
    <w:p w14:paraId="287C141E" w14:textId="77777777" w:rsidR="005C341F" w:rsidRDefault="005C341F">
      <w:pPr>
        <w:spacing w:after="0" w:line="240" w:lineRule="auto"/>
        <w:ind w:firstLine="708"/>
        <w:jc w:val="both"/>
        <w:rPr>
          <w:rFonts w:asciiTheme="majorHAnsi" w:eastAsia="Times New Roman" w:hAnsiTheme="majorHAnsi" w:cstheme="minorHAnsi"/>
          <w:sz w:val="24"/>
          <w:szCs w:val="24"/>
        </w:rPr>
      </w:pPr>
    </w:p>
    <w:p w14:paraId="3B1C7853" w14:textId="78BE01C1" w:rsidR="005C341F" w:rsidRDefault="00000000">
      <w:pPr>
        <w:spacing w:after="0" w:line="240" w:lineRule="auto"/>
        <w:jc w:val="center"/>
        <w:rPr>
          <w:rFonts w:asciiTheme="majorHAnsi" w:eastAsia="Times New Roman" w:hAnsiTheme="majorHAnsi" w:cstheme="minorHAnsi"/>
          <w:b/>
          <w:sz w:val="24"/>
          <w:szCs w:val="24"/>
        </w:rPr>
      </w:pPr>
      <w:r>
        <w:rPr>
          <w:rFonts w:asciiTheme="majorHAnsi" w:eastAsia="Times New Roman" w:hAnsiTheme="majorHAnsi" w:cstheme="minorHAnsi"/>
          <w:b/>
          <w:sz w:val="24"/>
          <w:szCs w:val="24"/>
        </w:rPr>
        <w:t xml:space="preserve">Članak </w:t>
      </w:r>
      <w:r w:rsidR="004D5A0E">
        <w:rPr>
          <w:rFonts w:asciiTheme="majorHAnsi" w:eastAsia="Times New Roman" w:hAnsiTheme="majorHAnsi" w:cstheme="minorHAnsi"/>
          <w:b/>
          <w:sz w:val="24"/>
          <w:szCs w:val="24"/>
        </w:rPr>
        <w:t>7</w:t>
      </w:r>
      <w:r>
        <w:rPr>
          <w:rFonts w:asciiTheme="majorHAnsi" w:eastAsia="Times New Roman" w:hAnsiTheme="majorHAnsi" w:cstheme="minorHAnsi"/>
          <w:b/>
          <w:sz w:val="24"/>
          <w:szCs w:val="24"/>
        </w:rPr>
        <w:t>.</w:t>
      </w:r>
    </w:p>
    <w:p w14:paraId="4E40CF2F" w14:textId="061A056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Troškove za izdavanje koncesijskog odobrenja snosi podnositelj zahtjeva u iznosu od </w:t>
      </w:r>
      <w:r w:rsidRPr="004D5A0E">
        <w:rPr>
          <w:rFonts w:asciiTheme="majorHAnsi" w:eastAsia="Times New Roman" w:hAnsiTheme="majorHAnsi" w:cstheme="minorHAnsi"/>
          <w:b/>
          <w:bCs/>
          <w:sz w:val="24"/>
          <w:szCs w:val="24"/>
        </w:rPr>
        <w:t>70,00</w:t>
      </w:r>
      <w:r>
        <w:rPr>
          <w:rFonts w:asciiTheme="majorHAnsi" w:eastAsia="Times New Roman" w:hAnsiTheme="majorHAnsi" w:cstheme="minorHAnsi"/>
          <w:sz w:val="24"/>
          <w:szCs w:val="24"/>
        </w:rPr>
        <w:t xml:space="preserve"> kuna upravne pristojbe prilikom podnošenja zahtjeva</w:t>
      </w:r>
      <w:r w:rsidR="004D5A0E">
        <w:rPr>
          <w:rFonts w:asciiTheme="majorHAnsi" w:eastAsia="Times New Roman" w:hAnsiTheme="majorHAnsi" w:cstheme="minorHAnsi"/>
          <w:sz w:val="24"/>
          <w:szCs w:val="24"/>
        </w:rPr>
        <w:t>.</w:t>
      </w:r>
    </w:p>
    <w:p w14:paraId="27591F68" w14:textId="77777777" w:rsidR="005C341F" w:rsidRDefault="005C341F">
      <w:pPr>
        <w:spacing w:after="0" w:line="240" w:lineRule="auto"/>
        <w:jc w:val="both"/>
        <w:rPr>
          <w:rFonts w:asciiTheme="majorHAnsi" w:eastAsia="Times New Roman" w:hAnsiTheme="majorHAnsi" w:cstheme="minorHAnsi"/>
          <w:sz w:val="24"/>
          <w:szCs w:val="24"/>
        </w:rPr>
      </w:pPr>
    </w:p>
    <w:p w14:paraId="2116B0C0" w14:textId="02001FF1" w:rsidR="005C341F" w:rsidRDefault="00000000">
      <w:pPr>
        <w:spacing w:after="0" w:line="240" w:lineRule="auto"/>
        <w:jc w:val="center"/>
        <w:rPr>
          <w:rFonts w:asciiTheme="majorHAnsi" w:eastAsia="Times New Roman" w:hAnsiTheme="majorHAnsi" w:cstheme="minorHAnsi"/>
          <w:b/>
          <w:sz w:val="24"/>
          <w:szCs w:val="24"/>
        </w:rPr>
      </w:pPr>
      <w:r>
        <w:rPr>
          <w:rFonts w:asciiTheme="majorHAnsi" w:eastAsia="Times New Roman" w:hAnsiTheme="majorHAnsi" w:cstheme="minorHAnsi"/>
          <w:b/>
          <w:sz w:val="24"/>
          <w:szCs w:val="24"/>
        </w:rPr>
        <w:t xml:space="preserve">Članak </w:t>
      </w:r>
      <w:r w:rsidR="004D5A0E">
        <w:rPr>
          <w:rFonts w:asciiTheme="majorHAnsi" w:eastAsia="Times New Roman" w:hAnsiTheme="majorHAnsi" w:cstheme="minorHAnsi"/>
          <w:b/>
          <w:sz w:val="24"/>
          <w:szCs w:val="24"/>
        </w:rPr>
        <w:t>8</w:t>
      </w:r>
      <w:r>
        <w:rPr>
          <w:rFonts w:asciiTheme="majorHAnsi" w:eastAsia="Times New Roman" w:hAnsiTheme="majorHAnsi" w:cstheme="minorHAnsi"/>
          <w:b/>
          <w:sz w:val="24"/>
          <w:szCs w:val="24"/>
        </w:rPr>
        <w:t>.</w:t>
      </w:r>
    </w:p>
    <w:p w14:paraId="7E8772AA"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Koncesijsko odobrenje izdaje se na vremenski rok od jedne kalendarske godine, odnosno do 31. prosinca 2023. godine. Iznimno, koncesijsko odobrenje može se dati na vremenski rok dulji od jedne godine, a najviše do pet godina. Rok se određuje na kalendarske (nedjeljive) godine. Kada se koncesijsko odobrenje daje na vremenski rok dulji od jedne godine, Vijeće je dužno prethodno ishoditi posebnu potvrdu nadležnog tijela u županiji, kojom se potvrđuje da za vrijeme na koje se daje odobrenje neće biti pokrenut postupak </w:t>
      </w:r>
      <w:proofErr w:type="spellStart"/>
      <w:r>
        <w:rPr>
          <w:rFonts w:asciiTheme="majorHAnsi" w:eastAsia="Times New Roman" w:hAnsiTheme="majorHAnsi" w:cstheme="minorHAnsi"/>
          <w:sz w:val="24"/>
          <w:szCs w:val="24"/>
        </w:rPr>
        <w:t>koncesioniranja</w:t>
      </w:r>
      <w:proofErr w:type="spellEnd"/>
      <w:r>
        <w:rPr>
          <w:rFonts w:asciiTheme="majorHAnsi" w:eastAsia="Times New Roman" w:hAnsiTheme="majorHAnsi" w:cstheme="minorHAnsi"/>
          <w:sz w:val="24"/>
          <w:szCs w:val="24"/>
        </w:rPr>
        <w:t>.</w:t>
      </w:r>
    </w:p>
    <w:p w14:paraId="2D46D773" w14:textId="77777777" w:rsidR="005C341F" w:rsidRDefault="005C341F">
      <w:pPr>
        <w:spacing w:after="0" w:line="240" w:lineRule="auto"/>
        <w:jc w:val="both"/>
        <w:rPr>
          <w:rFonts w:asciiTheme="majorHAnsi" w:eastAsia="Times New Roman" w:hAnsiTheme="majorHAnsi" w:cstheme="minorHAnsi"/>
          <w:sz w:val="24"/>
          <w:szCs w:val="24"/>
        </w:rPr>
      </w:pPr>
    </w:p>
    <w:p w14:paraId="11C41BA4"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lastRenderedPageBreak/>
        <w:t>Iznimno, za obavljanje djelatnosti koje se odnose na kulturne, zabavne, športske i komercijalne priredbe te snimanja komercijalnog programa i reklamiranje, koncesijsko odobrenje može se dati i na vremenski rok određen na dane.</w:t>
      </w:r>
    </w:p>
    <w:p w14:paraId="2B651348" w14:textId="77777777" w:rsidR="005C341F" w:rsidRDefault="005C341F">
      <w:pPr>
        <w:spacing w:after="0" w:line="240" w:lineRule="auto"/>
        <w:ind w:firstLine="708"/>
        <w:jc w:val="both"/>
        <w:rPr>
          <w:rFonts w:asciiTheme="majorHAnsi" w:eastAsia="Times New Roman" w:hAnsiTheme="majorHAnsi" w:cstheme="minorHAnsi"/>
          <w:sz w:val="24"/>
          <w:szCs w:val="24"/>
        </w:rPr>
      </w:pPr>
    </w:p>
    <w:p w14:paraId="5FA18D8B" w14:textId="0221E0DF" w:rsidR="005C341F" w:rsidRDefault="00000000">
      <w:pPr>
        <w:spacing w:after="0" w:line="240" w:lineRule="auto"/>
        <w:jc w:val="center"/>
        <w:rPr>
          <w:rFonts w:asciiTheme="majorHAnsi" w:eastAsia="Times New Roman" w:hAnsiTheme="majorHAnsi" w:cstheme="minorHAnsi"/>
          <w:b/>
          <w:sz w:val="24"/>
          <w:szCs w:val="24"/>
        </w:rPr>
      </w:pPr>
      <w:r>
        <w:rPr>
          <w:rFonts w:asciiTheme="majorHAnsi" w:eastAsia="Times New Roman" w:hAnsiTheme="majorHAnsi" w:cstheme="minorHAnsi"/>
          <w:b/>
          <w:sz w:val="24"/>
          <w:szCs w:val="24"/>
        </w:rPr>
        <w:t xml:space="preserve">Članak </w:t>
      </w:r>
      <w:r w:rsidR="004D5A0E">
        <w:rPr>
          <w:rFonts w:asciiTheme="majorHAnsi" w:eastAsia="Times New Roman" w:hAnsiTheme="majorHAnsi" w:cstheme="minorHAnsi"/>
          <w:b/>
          <w:sz w:val="24"/>
          <w:szCs w:val="24"/>
        </w:rPr>
        <w:t>9</w:t>
      </w:r>
      <w:r>
        <w:rPr>
          <w:rFonts w:asciiTheme="majorHAnsi" w:eastAsia="Times New Roman" w:hAnsiTheme="majorHAnsi" w:cstheme="minorHAnsi"/>
          <w:b/>
          <w:sz w:val="24"/>
          <w:szCs w:val="24"/>
        </w:rPr>
        <w:t>.</w:t>
      </w:r>
    </w:p>
    <w:p w14:paraId="53BFE5E9"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 xml:space="preserve">Vijeće može odbiti dodijeliti koncesijsko odobrenje ili rješenjem oduzeti </w:t>
      </w:r>
      <w:proofErr w:type="spellStart"/>
      <w:r>
        <w:rPr>
          <w:rFonts w:asciiTheme="majorHAnsi" w:eastAsia="Times New Roman" w:hAnsiTheme="majorHAnsi" w:cstheme="minorHAnsi"/>
          <w:sz w:val="24"/>
          <w:szCs w:val="24"/>
        </w:rPr>
        <w:t>korisništvo</w:t>
      </w:r>
      <w:proofErr w:type="spellEnd"/>
      <w:r>
        <w:rPr>
          <w:rFonts w:asciiTheme="majorHAnsi" w:eastAsia="Times New Roman" w:hAnsiTheme="majorHAnsi" w:cstheme="minorHAnsi"/>
          <w:sz w:val="24"/>
          <w:szCs w:val="24"/>
        </w:rPr>
        <w:t xml:space="preserve"> po izdanom koncesijskom odobrenju, bez prava korisnika na povrat uplaćenih sredstava na ime izdanog mu koncesijskog odobrenja, korisniku koji:</w:t>
      </w:r>
    </w:p>
    <w:p w14:paraId="03E40260" w14:textId="77777777" w:rsidR="005C341F" w:rsidRDefault="005C341F">
      <w:pPr>
        <w:spacing w:after="0" w:line="240" w:lineRule="auto"/>
        <w:jc w:val="both"/>
        <w:rPr>
          <w:rFonts w:asciiTheme="majorHAnsi" w:eastAsia="Times New Roman" w:hAnsiTheme="majorHAnsi" w:cstheme="minorHAnsi"/>
          <w:sz w:val="24"/>
          <w:szCs w:val="24"/>
        </w:rPr>
      </w:pPr>
    </w:p>
    <w:p w14:paraId="5D3BD179" w14:textId="77777777" w:rsidR="005C341F" w:rsidRDefault="00000000">
      <w:pPr>
        <w:numPr>
          <w:ilvl w:val="0"/>
          <w:numId w:val="28"/>
        </w:numPr>
        <w:spacing w:after="0" w:line="240" w:lineRule="auto"/>
        <w:ind w:left="709" w:hanging="283"/>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ne izvrši uplatu za koncesijsko odobrenje i troškove postupka u roku utvrđenom Zaključkom Vijeća;</w:t>
      </w:r>
    </w:p>
    <w:p w14:paraId="5ADFFC6D" w14:textId="77777777" w:rsidR="005C341F" w:rsidRDefault="00000000">
      <w:pPr>
        <w:numPr>
          <w:ilvl w:val="0"/>
          <w:numId w:val="28"/>
        </w:numPr>
        <w:spacing w:after="0" w:line="240" w:lineRule="auto"/>
        <w:ind w:left="709" w:hanging="283"/>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djelatnost obavlja suprotno odredbama ovog Plana i izdanog mu koncesijskog odobrenja.</w:t>
      </w:r>
    </w:p>
    <w:p w14:paraId="5DE3C9E5" w14:textId="77777777" w:rsidR="005C341F" w:rsidRDefault="005C341F">
      <w:pPr>
        <w:spacing w:after="0" w:line="240" w:lineRule="auto"/>
        <w:ind w:left="709"/>
        <w:jc w:val="both"/>
        <w:rPr>
          <w:rFonts w:asciiTheme="majorHAnsi" w:eastAsia="Times New Roman" w:hAnsiTheme="majorHAnsi" w:cstheme="minorHAnsi"/>
          <w:sz w:val="24"/>
          <w:szCs w:val="24"/>
        </w:rPr>
      </w:pPr>
    </w:p>
    <w:p w14:paraId="06C55067" w14:textId="3AF542A0"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U slučaju prestanka važenja koncesijskog odobrenja, korisnik koncesijskog odobrenja dužan je sva sredstva i opremu ukloniti te mi</w:t>
      </w:r>
      <w:r w:rsidR="004D5A0E">
        <w:rPr>
          <w:rFonts w:asciiTheme="majorHAnsi" w:eastAsia="Times New Roman" w:hAnsiTheme="majorHAnsi" w:cstheme="minorHAnsi"/>
          <w:sz w:val="24"/>
          <w:szCs w:val="24"/>
        </w:rPr>
        <w:t>kr</w:t>
      </w:r>
      <w:r>
        <w:rPr>
          <w:rFonts w:asciiTheme="majorHAnsi" w:eastAsia="Times New Roman" w:hAnsiTheme="majorHAnsi" w:cstheme="minorHAnsi"/>
          <w:sz w:val="24"/>
          <w:szCs w:val="24"/>
        </w:rPr>
        <w:t>olokaciju ostaviti urednom.</w:t>
      </w:r>
    </w:p>
    <w:p w14:paraId="5AAA3CB5" w14:textId="77777777" w:rsidR="005C341F" w:rsidRDefault="005C341F">
      <w:pPr>
        <w:spacing w:after="0" w:line="240" w:lineRule="auto"/>
        <w:ind w:firstLine="708"/>
        <w:jc w:val="both"/>
        <w:rPr>
          <w:rFonts w:asciiTheme="majorHAnsi" w:eastAsia="Times New Roman" w:hAnsiTheme="majorHAnsi" w:cstheme="minorHAnsi"/>
          <w:sz w:val="24"/>
          <w:szCs w:val="24"/>
        </w:rPr>
      </w:pPr>
    </w:p>
    <w:p w14:paraId="4FE7DBEC" w14:textId="22924FFC" w:rsidR="005C341F" w:rsidRDefault="00000000">
      <w:pPr>
        <w:spacing w:after="0" w:line="240" w:lineRule="auto"/>
        <w:jc w:val="center"/>
        <w:rPr>
          <w:rFonts w:asciiTheme="majorHAnsi" w:eastAsia="Times New Roman" w:hAnsiTheme="majorHAnsi" w:cstheme="minorHAnsi"/>
          <w:b/>
          <w:bCs/>
          <w:sz w:val="24"/>
          <w:szCs w:val="24"/>
        </w:rPr>
      </w:pPr>
      <w:r>
        <w:rPr>
          <w:rFonts w:asciiTheme="majorHAnsi" w:eastAsia="Times New Roman" w:hAnsiTheme="majorHAnsi" w:cstheme="minorHAnsi"/>
          <w:b/>
          <w:bCs/>
          <w:sz w:val="24"/>
          <w:szCs w:val="24"/>
        </w:rPr>
        <w:t>Članak 1</w:t>
      </w:r>
      <w:r w:rsidR="004D5A0E">
        <w:rPr>
          <w:rFonts w:asciiTheme="majorHAnsi" w:eastAsia="Times New Roman" w:hAnsiTheme="majorHAnsi" w:cstheme="minorHAnsi"/>
          <w:b/>
          <w:bCs/>
          <w:sz w:val="24"/>
          <w:szCs w:val="24"/>
        </w:rPr>
        <w:t>0</w:t>
      </w:r>
      <w:r>
        <w:rPr>
          <w:rFonts w:asciiTheme="majorHAnsi" w:eastAsia="Times New Roman" w:hAnsiTheme="majorHAnsi" w:cstheme="minorHAnsi"/>
          <w:b/>
          <w:bCs/>
          <w:sz w:val="24"/>
          <w:szCs w:val="24"/>
        </w:rPr>
        <w:t>.</w:t>
      </w:r>
    </w:p>
    <w:p w14:paraId="0CECC35B"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Korisnici koncesijskih odobrenja dužni su pridržavati se propisa o sigurnosti plovidbe, zaštite okoliša i reda na pomorskom dobru te uvažavati značaj pomorskog dobra kao općeg dobra od interesa za Republiku Hrvatsku, kao i Odluke o komunalnom redu („Službene novine Primorsko-goranske županije“ broj 23/20, 7/21, 29/21, 13/22) te ostalih važećih zakonskih, podzakonskih akata i akata Općine Malinska-</w:t>
      </w:r>
      <w:proofErr w:type="spellStart"/>
      <w:r>
        <w:rPr>
          <w:rFonts w:asciiTheme="majorHAnsi" w:eastAsia="Times New Roman" w:hAnsiTheme="majorHAnsi" w:cstheme="minorHAnsi"/>
          <w:sz w:val="24"/>
          <w:szCs w:val="24"/>
        </w:rPr>
        <w:t>Dubašnica</w:t>
      </w:r>
      <w:proofErr w:type="spellEnd"/>
      <w:r>
        <w:rPr>
          <w:rFonts w:asciiTheme="majorHAnsi" w:eastAsia="Times New Roman" w:hAnsiTheme="majorHAnsi" w:cstheme="minorHAnsi"/>
          <w:sz w:val="24"/>
          <w:szCs w:val="24"/>
        </w:rPr>
        <w:t xml:space="preserve"> </w:t>
      </w:r>
    </w:p>
    <w:p w14:paraId="720F2CA2" w14:textId="77777777" w:rsidR="005C341F" w:rsidRDefault="005C341F">
      <w:pPr>
        <w:spacing w:after="0" w:line="240" w:lineRule="auto"/>
        <w:jc w:val="both"/>
        <w:rPr>
          <w:rFonts w:asciiTheme="majorHAnsi" w:eastAsia="Times New Roman" w:hAnsiTheme="majorHAnsi" w:cstheme="minorHAnsi"/>
          <w:sz w:val="24"/>
          <w:szCs w:val="24"/>
        </w:rPr>
      </w:pPr>
    </w:p>
    <w:p w14:paraId="4B3033FE"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Korisnici koncesijskog odobrenja dužni su ispuniti uvjete propisane Pravilnikom o minimalnim tehničkim uvjetima i drugim uvjetima koji se odnose na prodajne objekte, opremu i sredstva u prodajnim objektima za prodaju robe izvan prodavaonica (Narodne novine, broj 66/09, 108/09, 8/10, 108/14), odnosno Pravilnikom o razvrstavanju i minimalnim uvjetima ugostiteljskih objekata iz skupina „restorani“, „barovi“, „catering objekti“ i „objekti jednostavnih usluga“ (Narodne novine, broj 82/07, 82/09, 75/12, 69/13, 150/14).</w:t>
      </w:r>
    </w:p>
    <w:p w14:paraId="13477BE8" w14:textId="77777777" w:rsidR="005C341F" w:rsidRDefault="005C341F">
      <w:pPr>
        <w:spacing w:after="0" w:line="240" w:lineRule="auto"/>
        <w:ind w:firstLine="708"/>
        <w:jc w:val="both"/>
        <w:rPr>
          <w:rFonts w:asciiTheme="majorHAnsi" w:eastAsia="Times New Roman" w:hAnsiTheme="majorHAnsi" w:cstheme="minorHAnsi"/>
          <w:sz w:val="24"/>
          <w:szCs w:val="24"/>
        </w:rPr>
      </w:pPr>
    </w:p>
    <w:p w14:paraId="38692496" w14:textId="77777777" w:rsidR="005C341F" w:rsidRDefault="00000000">
      <w:pPr>
        <w:pStyle w:val="Odlomakpopisa"/>
        <w:numPr>
          <w:ilvl w:val="0"/>
          <w:numId w:val="20"/>
        </w:numPr>
        <w:spacing w:after="0" w:line="240" w:lineRule="auto"/>
        <w:jc w:val="both"/>
        <w:rPr>
          <w:rFonts w:asciiTheme="majorHAnsi" w:eastAsia="Times New Roman" w:hAnsiTheme="majorHAnsi" w:cstheme="minorHAnsi"/>
          <w:b/>
          <w:sz w:val="24"/>
          <w:szCs w:val="24"/>
        </w:rPr>
      </w:pPr>
      <w:r>
        <w:rPr>
          <w:rFonts w:asciiTheme="majorHAnsi" w:eastAsia="Times New Roman" w:hAnsiTheme="majorHAnsi" w:cstheme="minorHAnsi"/>
          <w:b/>
          <w:sz w:val="24"/>
          <w:szCs w:val="24"/>
        </w:rPr>
        <w:t>POPIS DJELATNOSTI NA POMORSKOM DOBRU I MIKROLOKACIJE ZA OBAVLJANJE DJELATNOSTI</w:t>
      </w:r>
    </w:p>
    <w:p w14:paraId="34AD55E6" w14:textId="77777777" w:rsidR="005C341F" w:rsidRDefault="005C341F">
      <w:pPr>
        <w:spacing w:after="0" w:line="240" w:lineRule="auto"/>
        <w:ind w:left="720"/>
        <w:rPr>
          <w:rFonts w:asciiTheme="majorHAnsi" w:eastAsia="Times New Roman" w:hAnsiTheme="majorHAnsi" w:cstheme="minorHAnsi"/>
          <w:b/>
          <w:sz w:val="24"/>
          <w:szCs w:val="24"/>
        </w:rPr>
      </w:pPr>
    </w:p>
    <w:p w14:paraId="78C5365D" w14:textId="77777777" w:rsidR="005C341F" w:rsidRDefault="005C341F">
      <w:pPr>
        <w:spacing w:after="0" w:line="240" w:lineRule="auto"/>
        <w:jc w:val="center"/>
        <w:rPr>
          <w:rFonts w:asciiTheme="majorHAnsi" w:eastAsia="Times New Roman" w:hAnsiTheme="majorHAnsi" w:cstheme="minorHAnsi"/>
          <w:b/>
          <w:bCs/>
          <w:sz w:val="24"/>
          <w:szCs w:val="24"/>
        </w:rPr>
      </w:pPr>
    </w:p>
    <w:p w14:paraId="25CC9B75" w14:textId="0B1BCA3B" w:rsidR="005C341F" w:rsidRDefault="00000000" w:rsidP="00CF6D3A">
      <w:pPr>
        <w:spacing w:after="0" w:line="240" w:lineRule="auto"/>
        <w:jc w:val="center"/>
        <w:rPr>
          <w:rFonts w:asciiTheme="majorHAnsi" w:eastAsia="Times New Roman" w:hAnsiTheme="majorHAnsi" w:cstheme="minorHAnsi"/>
          <w:b/>
          <w:bCs/>
          <w:sz w:val="24"/>
          <w:szCs w:val="24"/>
        </w:rPr>
      </w:pPr>
      <w:r>
        <w:rPr>
          <w:rFonts w:asciiTheme="majorHAnsi" w:eastAsia="Times New Roman" w:hAnsiTheme="majorHAnsi" w:cstheme="minorHAnsi"/>
          <w:b/>
          <w:bCs/>
          <w:sz w:val="24"/>
          <w:szCs w:val="24"/>
        </w:rPr>
        <w:t>Članak 1</w:t>
      </w:r>
      <w:r w:rsidR="004D5A0E">
        <w:rPr>
          <w:rFonts w:asciiTheme="majorHAnsi" w:eastAsia="Times New Roman" w:hAnsiTheme="majorHAnsi" w:cstheme="minorHAnsi"/>
          <w:b/>
          <w:bCs/>
          <w:sz w:val="24"/>
          <w:szCs w:val="24"/>
        </w:rPr>
        <w:t>1</w:t>
      </w:r>
      <w:r>
        <w:rPr>
          <w:rFonts w:asciiTheme="majorHAnsi" w:eastAsia="Times New Roman" w:hAnsiTheme="majorHAnsi" w:cstheme="minorHAnsi"/>
          <w:b/>
          <w:bCs/>
          <w:sz w:val="24"/>
          <w:szCs w:val="24"/>
        </w:rPr>
        <w:t>.</w:t>
      </w:r>
    </w:p>
    <w:p w14:paraId="35749A31"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Na pomorskom dobru na području Općine Malinska-</w:t>
      </w:r>
      <w:proofErr w:type="spellStart"/>
      <w:r>
        <w:rPr>
          <w:rFonts w:asciiTheme="majorHAnsi" w:eastAsia="Times New Roman" w:hAnsiTheme="majorHAnsi" w:cstheme="minorHAnsi"/>
          <w:sz w:val="24"/>
          <w:szCs w:val="24"/>
        </w:rPr>
        <w:t>Dubašnica</w:t>
      </w:r>
      <w:proofErr w:type="spellEnd"/>
      <w:r>
        <w:rPr>
          <w:rFonts w:asciiTheme="majorHAnsi" w:eastAsia="Times New Roman" w:hAnsiTheme="majorHAnsi" w:cstheme="minorHAnsi"/>
          <w:sz w:val="24"/>
          <w:szCs w:val="24"/>
        </w:rPr>
        <w:t>, a kojim upravlja Općina Malinska-</w:t>
      </w:r>
      <w:proofErr w:type="spellStart"/>
      <w:r>
        <w:rPr>
          <w:rFonts w:asciiTheme="majorHAnsi" w:eastAsia="Times New Roman" w:hAnsiTheme="majorHAnsi" w:cstheme="minorHAnsi"/>
          <w:sz w:val="24"/>
          <w:szCs w:val="24"/>
        </w:rPr>
        <w:t>Dubašnica</w:t>
      </w:r>
      <w:proofErr w:type="spellEnd"/>
      <w:r>
        <w:rPr>
          <w:rFonts w:asciiTheme="majorHAnsi" w:eastAsia="Times New Roman" w:hAnsiTheme="majorHAnsi" w:cstheme="minorHAnsi"/>
          <w:sz w:val="24"/>
          <w:szCs w:val="24"/>
        </w:rPr>
        <w:t>, utvrđuju se sljedeće djelatnosti iz Jedinstvenog popisa djelatnosti na pomorskom dobru (Prilog 1B, Tablica 2. Uredbe), razvrstane u tri skupine:</w:t>
      </w:r>
    </w:p>
    <w:p w14:paraId="554C169A" w14:textId="77777777" w:rsidR="005C341F" w:rsidRDefault="005C341F">
      <w:pPr>
        <w:spacing w:after="0" w:line="240" w:lineRule="auto"/>
        <w:jc w:val="both"/>
        <w:rPr>
          <w:rFonts w:asciiTheme="majorHAnsi" w:eastAsia="Times New Roman" w:hAnsiTheme="majorHAnsi" w:cstheme="minorHAnsi"/>
          <w:sz w:val="24"/>
          <w:szCs w:val="24"/>
        </w:rPr>
      </w:pPr>
    </w:p>
    <w:p w14:paraId="630BF2C0" w14:textId="77777777" w:rsidR="005C341F" w:rsidRDefault="00000000">
      <w:pPr>
        <w:numPr>
          <w:ilvl w:val="0"/>
          <w:numId w:val="29"/>
        </w:numPr>
        <w:spacing w:after="0" w:line="240" w:lineRule="auto"/>
        <w:contextualSpacing/>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iznajmljivanje sredstava,</w:t>
      </w:r>
    </w:p>
    <w:p w14:paraId="5C6CA3AA" w14:textId="77777777" w:rsidR="005C341F" w:rsidRDefault="00000000">
      <w:pPr>
        <w:numPr>
          <w:ilvl w:val="0"/>
          <w:numId w:val="29"/>
        </w:numPr>
        <w:spacing w:after="0" w:line="240" w:lineRule="auto"/>
        <w:contextualSpacing/>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ugostiteljstvo i trgovina,</w:t>
      </w:r>
    </w:p>
    <w:p w14:paraId="4ECF8A85" w14:textId="77777777" w:rsidR="005C341F" w:rsidRDefault="00000000">
      <w:pPr>
        <w:numPr>
          <w:ilvl w:val="0"/>
          <w:numId w:val="29"/>
        </w:numPr>
        <w:spacing w:after="0" w:line="240" w:lineRule="auto"/>
        <w:contextualSpacing/>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komercijalno-rekreacijski sadržaji.</w:t>
      </w:r>
    </w:p>
    <w:p w14:paraId="0B020163" w14:textId="77777777" w:rsidR="005C341F" w:rsidRDefault="005C341F">
      <w:pPr>
        <w:spacing w:after="0" w:line="240" w:lineRule="auto"/>
        <w:ind w:firstLine="708"/>
        <w:jc w:val="both"/>
        <w:rPr>
          <w:rFonts w:asciiTheme="majorHAnsi" w:eastAsia="Times New Roman" w:hAnsiTheme="majorHAnsi" w:cstheme="minorHAnsi"/>
          <w:sz w:val="24"/>
          <w:szCs w:val="24"/>
        </w:rPr>
      </w:pPr>
    </w:p>
    <w:p w14:paraId="69512862" w14:textId="094D00EB" w:rsidR="005C341F" w:rsidRDefault="00000000" w:rsidP="00160BE2">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Za djelatnosti iz stavka 1. ovog članka, Vijeće određuje točnu mikrolokaciju na morskoj obali, a prije izdavanja odobrenja zatražit će suglasnost nadležne lučke ispostave s naslova sigurnosti plovidbe za obavljanje djelatnosti koje su posebno naznačene u Jedinstvenom popisu djelatnosti na pomorskom dobru. Na dijelu pomorskog dobra koje je uređeno kao lučko područje te na dijelu pomorskog dobra koje je dano u koncesiju ne može se izdati koncesijsko odobrenje.</w:t>
      </w:r>
    </w:p>
    <w:p w14:paraId="01DF5DBF" w14:textId="6A28DCC2" w:rsidR="005C341F" w:rsidRDefault="00000000" w:rsidP="00160BE2">
      <w:pPr>
        <w:spacing w:after="0" w:line="240" w:lineRule="auto"/>
        <w:jc w:val="center"/>
        <w:rPr>
          <w:rFonts w:asciiTheme="majorHAnsi" w:eastAsia="Times New Roman" w:hAnsiTheme="majorHAnsi" w:cstheme="minorHAnsi"/>
          <w:b/>
          <w:bCs/>
          <w:sz w:val="24"/>
          <w:szCs w:val="24"/>
        </w:rPr>
      </w:pPr>
      <w:r>
        <w:rPr>
          <w:rFonts w:asciiTheme="majorHAnsi" w:eastAsia="Times New Roman" w:hAnsiTheme="majorHAnsi" w:cstheme="minorHAnsi"/>
          <w:b/>
          <w:bCs/>
          <w:sz w:val="24"/>
          <w:szCs w:val="24"/>
        </w:rPr>
        <w:t>Članak 1</w:t>
      </w:r>
      <w:r w:rsidR="004D5A0E">
        <w:rPr>
          <w:rFonts w:asciiTheme="majorHAnsi" w:eastAsia="Times New Roman" w:hAnsiTheme="majorHAnsi" w:cstheme="minorHAnsi"/>
          <w:b/>
          <w:bCs/>
          <w:sz w:val="24"/>
          <w:szCs w:val="24"/>
        </w:rPr>
        <w:t>2</w:t>
      </w:r>
      <w:r>
        <w:rPr>
          <w:rFonts w:asciiTheme="majorHAnsi" w:eastAsia="Times New Roman" w:hAnsiTheme="majorHAnsi" w:cstheme="minorHAnsi"/>
          <w:b/>
          <w:bCs/>
          <w:sz w:val="24"/>
          <w:szCs w:val="24"/>
        </w:rPr>
        <w:t>.</w:t>
      </w:r>
    </w:p>
    <w:p w14:paraId="711C2108" w14:textId="69C8E832"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lastRenderedPageBreak/>
        <w:t>Mikrolokacije za obavljanje djelatnosti iz članak 1</w:t>
      </w:r>
      <w:r w:rsidR="004D5A0E">
        <w:rPr>
          <w:rFonts w:asciiTheme="majorHAnsi" w:eastAsia="Times New Roman" w:hAnsiTheme="majorHAnsi" w:cstheme="minorHAnsi"/>
          <w:sz w:val="24"/>
          <w:szCs w:val="24"/>
        </w:rPr>
        <w:t>1</w:t>
      </w:r>
      <w:r>
        <w:rPr>
          <w:rFonts w:asciiTheme="majorHAnsi" w:eastAsia="Times New Roman" w:hAnsiTheme="majorHAnsi" w:cstheme="minorHAnsi"/>
          <w:sz w:val="24"/>
          <w:szCs w:val="24"/>
        </w:rPr>
        <w:t>. ovog Plana navedene su u priloženoj tabeli (prilog 1.) koja čini sastavni dio ovog Plana.</w:t>
      </w:r>
    </w:p>
    <w:p w14:paraId="5F2C1609" w14:textId="77777777" w:rsidR="005C341F" w:rsidRDefault="005C341F">
      <w:pPr>
        <w:spacing w:after="0" w:line="240" w:lineRule="auto"/>
        <w:jc w:val="both"/>
        <w:rPr>
          <w:rFonts w:asciiTheme="majorHAnsi" w:eastAsia="Times New Roman" w:hAnsiTheme="majorHAnsi" w:cstheme="minorHAnsi"/>
          <w:sz w:val="24"/>
          <w:szCs w:val="24"/>
        </w:rPr>
      </w:pPr>
    </w:p>
    <w:p w14:paraId="395637DA" w14:textId="5E8862CE"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Grafički prikaz mikrolokacija iz stavka 1. ovog članka sastavni je dio ovog Plana (prilog 2.) upravljanja pomorskim dobrom na području Općine Malinska-</w:t>
      </w:r>
      <w:proofErr w:type="spellStart"/>
      <w:r>
        <w:rPr>
          <w:rFonts w:asciiTheme="majorHAnsi" w:eastAsia="Times New Roman" w:hAnsiTheme="majorHAnsi" w:cstheme="minorHAnsi"/>
          <w:sz w:val="24"/>
          <w:szCs w:val="24"/>
        </w:rPr>
        <w:t>Dubašnica</w:t>
      </w:r>
      <w:proofErr w:type="spellEnd"/>
      <w:r>
        <w:rPr>
          <w:rFonts w:asciiTheme="majorHAnsi" w:eastAsia="Times New Roman" w:hAnsiTheme="majorHAnsi" w:cstheme="minorHAnsi"/>
          <w:sz w:val="24"/>
          <w:szCs w:val="24"/>
        </w:rPr>
        <w:t xml:space="preserve"> za 2023. godinu</w:t>
      </w:r>
    </w:p>
    <w:p w14:paraId="3BA98534" w14:textId="77777777" w:rsidR="005C341F" w:rsidRDefault="005C341F">
      <w:pPr>
        <w:spacing w:after="0" w:line="240" w:lineRule="auto"/>
        <w:jc w:val="both"/>
        <w:rPr>
          <w:rFonts w:asciiTheme="majorHAnsi" w:eastAsia="Times New Roman" w:hAnsiTheme="majorHAnsi" w:cstheme="minorHAnsi"/>
          <w:sz w:val="24"/>
          <w:szCs w:val="24"/>
        </w:rPr>
      </w:pPr>
    </w:p>
    <w:p w14:paraId="71680204" w14:textId="3C099318" w:rsidR="005C341F" w:rsidRDefault="00000000">
      <w:pPr>
        <w:spacing w:after="0" w:line="240" w:lineRule="auto"/>
        <w:jc w:val="center"/>
        <w:rPr>
          <w:rFonts w:asciiTheme="majorHAnsi" w:eastAsia="Times New Roman" w:hAnsiTheme="majorHAnsi" w:cstheme="minorHAnsi"/>
          <w:b/>
          <w:bCs/>
          <w:sz w:val="24"/>
          <w:szCs w:val="24"/>
        </w:rPr>
      </w:pPr>
      <w:r>
        <w:rPr>
          <w:rFonts w:asciiTheme="majorHAnsi" w:eastAsia="Times New Roman" w:hAnsiTheme="majorHAnsi" w:cstheme="minorHAnsi"/>
          <w:b/>
          <w:bCs/>
          <w:sz w:val="24"/>
          <w:szCs w:val="24"/>
        </w:rPr>
        <w:t>Članak 1</w:t>
      </w:r>
      <w:r w:rsidR="004D5A0E">
        <w:rPr>
          <w:rFonts w:asciiTheme="majorHAnsi" w:eastAsia="Times New Roman" w:hAnsiTheme="majorHAnsi" w:cstheme="minorHAnsi"/>
          <w:b/>
          <w:bCs/>
          <w:sz w:val="24"/>
          <w:szCs w:val="24"/>
        </w:rPr>
        <w:t>3</w:t>
      </w:r>
      <w:r>
        <w:rPr>
          <w:rFonts w:asciiTheme="majorHAnsi" w:eastAsia="Times New Roman" w:hAnsiTheme="majorHAnsi" w:cstheme="minorHAnsi"/>
          <w:b/>
          <w:bCs/>
          <w:sz w:val="24"/>
          <w:szCs w:val="24"/>
        </w:rPr>
        <w:t>.</w:t>
      </w:r>
    </w:p>
    <w:p w14:paraId="3E224365" w14:textId="77777777" w:rsidR="005C341F" w:rsidRDefault="00000000">
      <w:pPr>
        <w:spacing w:after="0" w:line="24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Radi reguliranja međusobnih prava i obveza u pogledu korištenja lokacije, održavanja, priključenja na komunalnu infrastrukturu i sl., nositelj koncesijskog odobrenja sklopit će ugovor s nadležnim odjelom Općine Malinska-</w:t>
      </w:r>
      <w:proofErr w:type="spellStart"/>
      <w:r>
        <w:rPr>
          <w:rFonts w:asciiTheme="majorHAnsi" w:eastAsia="Times New Roman" w:hAnsiTheme="majorHAnsi" w:cstheme="minorHAnsi"/>
          <w:sz w:val="24"/>
          <w:szCs w:val="24"/>
        </w:rPr>
        <w:t>Dubašnica</w:t>
      </w:r>
      <w:proofErr w:type="spellEnd"/>
      <w:r>
        <w:rPr>
          <w:rFonts w:asciiTheme="majorHAnsi" w:eastAsia="Times New Roman" w:hAnsiTheme="majorHAnsi" w:cstheme="minorHAnsi"/>
          <w:sz w:val="24"/>
          <w:szCs w:val="24"/>
        </w:rPr>
        <w:t xml:space="preserve">. U slučaju priključenja sredstva na komunalnu infrastrukturu (struja, voda i dr.) u vlasništvu Općine Malinska – </w:t>
      </w:r>
      <w:proofErr w:type="spellStart"/>
      <w:r>
        <w:rPr>
          <w:rFonts w:asciiTheme="majorHAnsi" w:eastAsia="Times New Roman" w:hAnsiTheme="majorHAnsi" w:cstheme="minorHAnsi"/>
          <w:sz w:val="24"/>
          <w:szCs w:val="24"/>
        </w:rPr>
        <w:t>Dubašnica</w:t>
      </w:r>
      <w:proofErr w:type="spellEnd"/>
      <w:r>
        <w:rPr>
          <w:rFonts w:asciiTheme="majorHAnsi" w:eastAsia="Times New Roman" w:hAnsiTheme="majorHAnsi" w:cstheme="minorHAnsi"/>
          <w:sz w:val="24"/>
          <w:szCs w:val="24"/>
        </w:rPr>
        <w:t>, troškove snosi korisnik koncesijskog odobrenja.</w:t>
      </w:r>
    </w:p>
    <w:p w14:paraId="4288F5AA" w14:textId="48F3F654" w:rsidR="005C341F" w:rsidRPr="004D5A0E" w:rsidRDefault="005C341F" w:rsidP="004D5A0E">
      <w:pPr>
        <w:spacing w:after="0" w:line="240" w:lineRule="auto"/>
        <w:jc w:val="both"/>
        <w:rPr>
          <w:rFonts w:asciiTheme="majorHAnsi" w:eastAsia="Times New Roman" w:hAnsiTheme="majorHAnsi" w:cstheme="minorHAnsi"/>
          <w:b/>
          <w:bCs/>
          <w:sz w:val="24"/>
          <w:szCs w:val="24"/>
        </w:rPr>
      </w:pPr>
    </w:p>
    <w:p w14:paraId="1B454431" w14:textId="1773BF31" w:rsidR="005C341F" w:rsidRPr="004D5A0E" w:rsidRDefault="00000000">
      <w:pPr>
        <w:spacing w:after="80" w:line="240" w:lineRule="auto"/>
        <w:jc w:val="center"/>
        <w:rPr>
          <w:rFonts w:asciiTheme="majorHAnsi" w:hAnsiTheme="majorHAnsi" w:cs="Times New"/>
          <w:b/>
          <w:bCs/>
          <w:color w:val="221E1F"/>
          <w:sz w:val="24"/>
          <w:szCs w:val="24"/>
        </w:rPr>
      </w:pPr>
      <w:r w:rsidRPr="004D5A0E">
        <w:rPr>
          <w:rFonts w:asciiTheme="majorHAnsi" w:hAnsiTheme="majorHAnsi" w:cs="Times New"/>
          <w:b/>
          <w:bCs/>
          <w:color w:val="221E1F"/>
          <w:sz w:val="24"/>
          <w:szCs w:val="24"/>
        </w:rPr>
        <w:t xml:space="preserve">Članak </w:t>
      </w:r>
      <w:r w:rsidR="004D5A0E" w:rsidRPr="004D5A0E">
        <w:rPr>
          <w:rFonts w:asciiTheme="majorHAnsi" w:hAnsiTheme="majorHAnsi" w:cs="Times New"/>
          <w:b/>
          <w:bCs/>
          <w:color w:val="221E1F"/>
          <w:sz w:val="24"/>
          <w:szCs w:val="24"/>
        </w:rPr>
        <w:t>14</w:t>
      </w:r>
      <w:r w:rsidRPr="004D5A0E">
        <w:rPr>
          <w:rFonts w:asciiTheme="majorHAnsi" w:hAnsiTheme="majorHAnsi" w:cs="Times New"/>
          <w:b/>
          <w:bCs/>
          <w:color w:val="221E1F"/>
          <w:sz w:val="24"/>
          <w:szCs w:val="24"/>
        </w:rPr>
        <w:t>.</w:t>
      </w:r>
    </w:p>
    <w:p w14:paraId="4B55BF93" w14:textId="77777777" w:rsidR="005C341F" w:rsidRDefault="00000000">
      <w:pPr>
        <w:spacing w:after="8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Ovaj Plan dostaviti će se nadležnom tijelu samouprave u Primorsko-goranskoj županiji radi davanja potvrde o usklađenosti s Godišnjim planom upravljanja pomorskim dobrom u Primorsko-goranske županije (u daljnjem tekstu: Potvrda).</w:t>
      </w:r>
    </w:p>
    <w:p w14:paraId="33A357F3" w14:textId="7E49893E" w:rsidR="005C341F" w:rsidRDefault="00000000">
      <w:pPr>
        <w:spacing w:after="8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Nakon ishođenja Potvrde, Plan i Potvrda biti će objavljeni na mrežnim stranicama Općine Malinska-</w:t>
      </w:r>
      <w:proofErr w:type="spellStart"/>
      <w:r>
        <w:rPr>
          <w:rFonts w:asciiTheme="majorHAnsi" w:hAnsiTheme="majorHAnsi" w:cs="Times New"/>
          <w:color w:val="221E1F"/>
          <w:sz w:val="24"/>
          <w:szCs w:val="24"/>
        </w:rPr>
        <w:t>Dubašnica</w:t>
      </w:r>
      <w:proofErr w:type="spellEnd"/>
      <w:r>
        <w:rPr>
          <w:rFonts w:asciiTheme="majorHAnsi" w:hAnsiTheme="majorHAnsi" w:cs="Times New"/>
          <w:color w:val="221E1F"/>
          <w:sz w:val="24"/>
          <w:szCs w:val="24"/>
        </w:rPr>
        <w:t xml:space="preserve"> te u „Službenim novinama" Primorsko-goranske županije.</w:t>
      </w:r>
      <w:r w:rsidR="004D5A0E">
        <w:rPr>
          <w:rFonts w:asciiTheme="majorHAnsi" w:hAnsiTheme="majorHAnsi" w:cs="Times New"/>
          <w:color w:val="221E1F"/>
          <w:sz w:val="24"/>
          <w:szCs w:val="24"/>
        </w:rPr>
        <w:t xml:space="preserve"> Grafički prikaz nije predmet objave u </w:t>
      </w:r>
      <w:r w:rsidR="004D5A0E" w:rsidRPr="004D5A0E">
        <w:rPr>
          <w:rFonts w:asciiTheme="majorHAnsi" w:hAnsiTheme="majorHAnsi" w:cs="Times New"/>
          <w:color w:val="221E1F"/>
          <w:sz w:val="24"/>
          <w:szCs w:val="24"/>
        </w:rPr>
        <w:t>„Službenim novinama" Primorsko-goranske županije.</w:t>
      </w:r>
      <w:r w:rsidR="004D5A0E">
        <w:rPr>
          <w:rFonts w:asciiTheme="majorHAnsi" w:hAnsiTheme="majorHAnsi" w:cs="Times New"/>
          <w:color w:val="221E1F"/>
          <w:sz w:val="24"/>
          <w:szCs w:val="24"/>
        </w:rPr>
        <w:t>“</w:t>
      </w:r>
    </w:p>
    <w:p w14:paraId="1C71CE2F" w14:textId="080BABFB" w:rsidR="005C341F" w:rsidRDefault="00000000">
      <w:pPr>
        <w:spacing w:after="80" w:line="240" w:lineRule="auto"/>
        <w:jc w:val="both"/>
        <w:rPr>
          <w:rFonts w:asciiTheme="majorHAnsi" w:hAnsiTheme="majorHAnsi" w:cs="Times New"/>
          <w:color w:val="221E1F"/>
          <w:sz w:val="24"/>
          <w:szCs w:val="24"/>
        </w:rPr>
      </w:pPr>
      <w:r>
        <w:rPr>
          <w:rFonts w:asciiTheme="majorHAnsi" w:hAnsiTheme="majorHAnsi" w:cs="Times New"/>
          <w:color w:val="221E1F"/>
          <w:sz w:val="24"/>
          <w:szCs w:val="24"/>
        </w:rPr>
        <w:t>Plan će stupiti na snagu osmog dana od dana objave u „Službenim novinama" Primorsko-goranske županije.</w:t>
      </w:r>
      <w:r w:rsidR="004D5A0E">
        <w:rPr>
          <w:rFonts w:asciiTheme="majorHAnsi" w:hAnsiTheme="majorHAnsi" w:cs="Times New"/>
          <w:color w:val="221E1F"/>
          <w:sz w:val="24"/>
          <w:szCs w:val="24"/>
        </w:rPr>
        <w:t>“</w:t>
      </w:r>
    </w:p>
    <w:p w14:paraId="283389F5" w14:textId="77777777" w:rsidR="004D5A0E" w:rsidRDefault="004D5A0E">
      <w:pPr>
        <w:spacing w:after="80" w:line="240" w:lineRule="auto"/>
        <w:jc w:val="both"/>
        <w:rPr>
          <w:rFonts w:asciiTheme="majorHAnsi" w:hAnsiTheme="majorHAnsi" w:cs="Times New"/>
          <w:color w:val="221E1F"/>
          <w:sz w:val="24"/>
          <w:szCs w:val="24"/>
        </w:rPr>
      </w:pPr>
    </w:p>
    <w:p w14:paraId="54FFB0CC" w14:textId="5B80AF10" w:rsidR="005C341F" w:rsidRDefault="00000000">
      <w:pPr>
        <w:spacing w:after="0" w:line="240" w:lineRule="auto"/>
        <w:rPr>
          <w:rFonts w:asciiTheme="majorHAnsi" w:hAnsiTheme="majorHAnsi" w:cs="Times New"/>
          <w:color w:val="221E1F"/>
          <w:sz w:val="24"/>
          <w:szCs w:val="24"/>
        </w:rPr>
      </w:pPr>
      <w:r>
        <w:rPr>
          <w:rFonts w:asciiTheme="majorHAnsi" w:hAnsiTheme="majorHAnsi" w:cs="Times New"/>
          <w:color w:val="221E1F"/>
          <w:sz w:val="24"/>
          <w:szCs w:val="24"/>
        </w:rPr>
        <w:t xml:space="preserve">KLASA:  </w:t>
      </w:r>
    </w:p>
    <w:p w14:paraId="702E6623" w14:textId="72C8DE0A" w:rsidR="005C341F" w:rsidRDefault="00000000">
      <w:pPr>
        <w:spacing w:after="0" w:line="240" w:lineRule="auto"/>
        <w:rPr>
          <w:rFonts w:asciiTheme="majorHAnsi" w:hAnsiTheme="majorHAnsi" w:cs="Times New"/>
          <w:color w:val="221E1F"/>
          <w:sz w:val="24"/>
          <w:szCs w:val="24"/>
        </w:rPr>
      </w:pPr>
      <w:r>
        <w:rPr>
          <w:rFonts w:asciiTheme="majorHAnsi" w:hAnsiTheme="majorHAnsi" w:cs="Times New"/>
          <w:color w:val="221E1F"/>
          <w:sz w:val="24"/>
          <w:szCs w:val="24"/>
        </w:rPr>
        <w:t xml:space="preserve">URBROJ: </w:t>
      </w:r>
    </w:p>
    <w:p w14:paraId="3F11395C" w14:textId="1EFB0EAF" w:rsidR="005C341F" w:rsidRDefault="00000000">
      <w:pPr>
        <w:spacing w:after="0" w:line="240" w:lineRule="auto"/>
        <w:rPr>
          <w:rFonts w:asciiTheme="majorHAnsi" w:hAnsiTheme="majorHAnsi" w:cs="Times New"/>
          <w:color w:val="221E1F"/>
          <w:sz w:val="24"/>
          <w:szCs w:val="24"/>
        </w:rPr>
      </w:pPr>
      <w:r>
        <w:rPr>
          <w:rFonts w:asciiTheme="majorHAnsi" w:hAnsiTheme="majorHAnsi" w:cs="Times New"/>
          <w:color w:val="221E1F"/>
          <w:sz w:val="24"/>
          <w:szCs w:val="24"/>
        </w:rPr>
        <w:t xml:space="preserve">Malinska, </w:t>
      </w:r>
    </w:p>
    <w:p w14:paraId="12D266F3" w14:textId="77777777" w:rsidR="005C341F" w:rsidRDefault="00000000">
      <w:pPr>
        <w:spacing w:after="0" w:line="240" w:lineRule="auto"/>
        <w:ind w:left="6480"/>
        <w:jc w:val="center"/>
        <w:rPr>
          <w:rFonts w:asciiTheme="majorHAnsi" w:hAnsiTheme="majorHAnsi" w:cs="Times New"/>
          <w:color w:val="221E1F"/>
          <w:sz w:val="24"/>
          <w:szCs w:val="24"/>
        </w:rPr>
      </w:pPr>
      <w:r>
        <w:rPr>
          <w:rFonts w:asciiTheme="majorHAnsi" w:hAnsiTheme="majorHAnsi" w:cs="Times New"/>
          <w:color w:val="221E1F"/>
          <w:sz w:val="24"/>
          <w:szCs w:val="24"/>
        </w:rPr>
        <w:t>OPĆINSKI NAČELNIK</w:t>
      </w:r>
    </w:p>
    <w:p w14:paraId="2CC43AAA" w14:textId="77777777" w:rsidR="005C341F" w:rsidRDefault="00000000">
      <w:pPr>
        <w:spacing w:after="0" w:line="240" w:lineRule="auto"/>
        <w:ind w:left="6480"/>
        <w:jc w:val="center"/>
        <w:rPr>
          <w:rFonts w:asciiTheme="majorHAnsi" w:hAnsiTheme="majorHAnsi"/>
          <w:i/>
          <w:sz w:val="24"/>
          <w:szCs w:val="24"/>
        </w:rPr>
      </w:pPr>
      <w:r>
        <w:rPr>
          <w:rFonts w:asciiTheme="majorHAnsi" w:hAnsiTheme="majorHAnsi" w:cs="Times New"/>
          <w:i/>
          <w:color w:val="221E1F"/>
          <w:sz w:val="24"/>
          <w:szCs w:val="24"/>
        </w:rPr>
        <w:t>Robert Anton Kraljić</w:t>
      </w:r>
    </w:p>
    <w:sectPr w:rsidR="005C341F">
      <w:pgSz w:w="11907" w:h="16840"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04584" w14:textId="77777777" w:rsidR="00C0561F" w:rsidRDefault="00C0561F">
      <w:pPr>
        <w:spacing w:after="0" w:line="240" w:lineRule="auto"/>
      </w:pPr>
      <w:r>
        <w:separator/>
      </w:r>
    </w:p>
  </w:endnote>
  <w:endnote w:type="continuationSeparator" w:id="0">
    <w:p w14:paraId="429830EF" w14:textId="77777777" w:rsidR="00C0561F" w:rsidRDefault="00C0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bel">
    <w:panose1 w:val="020B0503020204020204"/>
    <w:charset w:val="EE"/>
    <w:family w:val="swiss"/>
    <w:pitch w:val="variable"/>
    <w:sig w:usb0="A00002EF" w:usb1="4000A4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Times New">
    <w:altName w:val="Times New Roman"/>
    <w:panose1 w:val="00000000000000000000"/>
    <w:charset w:val="EE"/>
    <w:family w:val="roman"/>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07D70" w14:textId="77777777" w:rsidR="00C0561F" w:rsidRDefault="00C0561F">
      <w:pPr>
        <w:spacing w:after="0" w:line="240" w:lineRule="auto"/>
      </w:pPr>
      <w:r>
        <w:separator/>
      </w:r>
    </w:p>
  </w:footnote>
  <w:footnote w:type="continuationSeparator" w:id="0">
    <w:p w14:paraId="791BBAD8" w14:textId="77777777" w:rsidR="00C0561F" w:rsidRDefault="00C056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83B133"/>
    <w:multiLevelType w:val="hybridMultilevel"/>
    <w:tmpl w:val="5C072E8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E893A7"/>
    <w:multiLevelType w:val="hybridMultilevel"/>
    <w:tmpl w:val="0A67E0F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912B7E6"/>
    <w:multiLevelType w:val="hybridMultilevel"/>
    <w:tmpl w:val="D4443B2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2E65552"/>
    <w:multiLevelType w:val="hybridMultilevel"/>
    <w:tmpl w:val="0067B18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9769914"/>
    <w:multiLevelType w:val="hybridMultilevel"/>
    <w:tmpl w:val="FCBF5E9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20237B2"/>
    <w:multiLevelType w:val="hybridMultilevel"/>
    <w:tmpl w:val="CAD61624"/>
    <w:lvl w:ilvl="0" w:tplc="C2247B24">
      <w:start w:val="2"/>
      <w:numFmt w:val="bullet"/>
      <w:lvlText w:val="-"/>
      <w:lvlJc w:val="left"/>
      <w:pPr>
        <w:ind w:left="1080" w:hanging="720"/>
      </w:pPr>
      <w:rPr>
        <w:rFonts w:ascii="Corbel" w:eastAsiaTheme="minorEastAsia" w:hAnsi="Corbel" w:cs="Times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2A93872"/>
    <w:multiLevelType w:val="hybridMultilevel"/>
    <w:tmpl w:val="6F14BD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D2A415E"/>
    <w:multiLevelType w:val="hybridMultilevel"/>
    <w:tmpl w:val="0B063B96"/>
    <w:lvl w:ilvl="0" w:tplc="DB2E0E0A">
      <w:start w:val="1"/>
      <w:numFmt w:val="bullet"/>
      <w:lvlText w:val="-"/>
      <w:lvlJc w:val="left"/>
      <w:pPr>
        <w:ind w:left="360" w:hanging="360"/>
      </w:pPr>
      <w:rPr>
        <w:rFonts w:ascii="Corbel" w:eastAsiaTheme="minorEastAsia" w:hAnsi="Corbel"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F584B38"/>
    <w:multiLevelType w:val="hybridMultilevel"/>
    <w:tmpl w:val="54688C5E"/>
    <w:lvl w:ilvl="0" w:tplc="10CEF2BE">
      <w:start w:val="1"/>
      <w:numFmt w:val="bullet"/>
      <w:lvlText w:val="-"/>
      <w:lvlJc w:val="left"/>
      <w:pPr>
        <w:ind w:left="1428" w:hanging="360"/>
      </w:pPr>
      <w:rPr>
        <w:rFonts w:ascii="Arial" w:hAnsi="Aria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1A6436F2"/>
    <w:multiLevelType w:val="hybridMultilevel"/>
    <w:tmpl w:val="988CCE42"/>
    <w:lvl w:ilvl="0" w:tplc="8794C4F6">
      <w:start w:val="2"/>
      <w:numFmt w:val="bullet"/>
      <w:lvlText w:val="•"/>
      <w:lvlJc w:val="left"/>
      <w:pPr>
        <w:ind w:left="1080" w:hanging="720"/>
      </w:pPr>
      <w:rPr>
        <w:rFonts w:ascii="Corbel" w:eastAsiaTheme="minorEastAsia" w:hAnsi="Corbel" w:cs="Times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ABEB08D"/>
    <w:multiLevelType w:val="hybridMultilevel"/>
    <w:tmpl w:val="C7B93BA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C33D83D"/>
    <w:multiLevelType w:val="hybridMultilevel"/>
    <w:tmpl w:val="DAAF76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2EB50C2"/>
    <w:multiLevelType w:val="hybridMultilevel"/>
    <w:tmpl w:val="DF86A5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41D134A"/>
    <w:multiLevelType w:val="hybridMultilevel"/>
    <w:tmpl w:val="42B22618"/>
    <w:lvl w:ilvl="0" w:tplc="2D404584">
      <w:start w:val="1"/>
      <w:numFmt w:val="upperRoman"/>
      <w:lvlText w:val="%1."/>
      <w:lvlJc w:val="left"/>
      <w:pPr>
        <w:tabs>
          <w:tab w:val="num" w:pos="720"/>
        </w:tabs>
        <w:ind w:left="720" w:hanging="720"/>
      </w:pPr>
      <w:rPr>
        <w:rFonts w:ascii="Times New Roman" w:hAnsi="Times New Roman" w:cs="Times New Roman" w:hint="default"/>
      </w:rPr>
    </w:lvl>
    <w:lvl w:ilvl="1" w:tplc="041A0019">
      <w:start w:val="1"/>
      <w:numFmt w:val="lowerLetter"/>
      <w:lvlText w:val="%2."/>
      <w:lvlJc w:val="left"/>
      <w:pPr>
        <w:tabs>
          <w:tab w:val="num" w:pos="1080"/>
        </w:tabs>
        <w:ind w:left="1080" w:hanging="360"/>
      </w:pPr>
      <w:rPr>
        <w:rFonts w:ascii="Times New Roman" w:hAnsi="Times New Roman" w:cs="Times New Roman"/>
      </w:rPr>
    </w:lvl>
    <w:lvl w:ilvl="2" w:tplc="041A001B">
      <w:start w:val="1"/>
      <w:numFmt w:val="lowerRoman"/>
      <w:lvlText w:val="%3."/>
      <w:lvlJc w:val="right"/>
      <w:pPr>
        <w:tabs>
          <w:tab w:val="num" w:pos="1800"/>
        </w:tabs>
        <w:ind w:left="1800" w:hanging="180"/>
      </w:pPr>
      <w:rPr>
        <w:rFonts w:ascii="Times New Roman" w:hAnsi="Times New Roman" w:cs="Times New Roman"/>
      </w:rPr>
    </w:lvl>
    <w:lvl w:ilvl="3" w:tplc="041A000F">
      <w:start w:val="1"/>
      <w:numFmt w:val="decimal"/>
      <w:lvlText w:val="%4."/>
      <w:lvlJc w:val="left"/>
      <w:pPr>
        <w:tabs>
          <w:tab w:val="num" w:pos="2520"/>
        </w:tabs>
        <w:ind w:left="2520" w:hanging="360"/>
      </w:pPr>
      <w:rPr>
        <w:rFonts w:ascii="Times New Roman" w:hAnsi="Times New Roman" w:cs="Times New Roman"/>
      </w:rPr>
    </w:lvl>
    <w:lvl w:ilvl="4" w:tplc="041A0019">
      <w:start w:val="1"/>
      <w:numFmt w:val="lowerLetter"/>
      <w:lvlText w:val="%5."/>
      <w:lvlJc w:val="left"/>
      <w:pPr>
        <w:tabs>
          <w:tab w:val="num" w:pos="3240"/>
        </w:tabs>
        <w:ind w:left="3240" w:hanging="360"/>
      </w:pPr>
      <w:rPr>
        <w:rFonts w:ascii="Times New Roman" w:hAnsi="Times New Roman" w:cs="Times New Roman"/>
      </w:rPr>
    </w:lvl>
    <w:lvl w:ilvl="5" w:tplc="041A001B">
      <w:start w:val="1"/>
      <w:numFmt w:val="lowerRoman"/>
      <w:lvlText w:val="%6."/>
      <w:lvlJc w:val="right"/>
      <w:pPr>
        <w:tabs>
          <w:tab w:val="num" w:pos="3960"/>
        </w:tabs>
        <w:ind w:left="3960" w:hanging="180"/>
      </w:pPr>
      <w:rPr>
        <w:rFonts w:ascii="Times New Roman" w:hAnsi="Times New Roman" w:cs="Times New Roman"/>
      </w:rPr>
    </w:lvl>
    <w:lvl w:ilvl="6" w:tplc="041A000F">
      <w:start w:val="1"/>
      <w:numFmt w:val="decimal"/>
      <w:lvlText w:val="%7."/>
      <w:lvlJc w:val="left"/>
      <w:pPr>
        <w:tabs>
          <w:tab w:val="num" w:pos="4680"/>
        </w:tabs>
        <w:ind w:left="4680" w:hanging="360"/>
      </w:pPr>
      <w:rPr>
        <w:rFonts w:ascii="Times New Roman" w:hAnsi="Times New Roman" w:cs="Times New Roman"/>
      </w:rPr>
    </w:lvl>
    <w:lvl w:ilvl="7" w:tplc="041A0019">
      <w:start w:val="1"/>
      <w:numFmt w:val="lowerLetter"/>
      <w:lvlText w:val="%8."/>
      <w:lvlJc w:val="left"/>
      <w:pPr>
        <w:tabs>
          <w:tab w:val="num" w:pos="5400"/>
        </w:tabs>
        <w:ind w:left="5400" w:hanging="360"/>
      </w:pPr>
      <w:rPr>
        <w:rFonts w:ascii="Times New Roman" w:hAnsi="Times New Roman" w:cs="Times New Roman"/>
      </w:rPr>
    </w:lvl>
    <w:lvl w:ilvl="8" w:tplc="041A001B">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24516873"/>
    <w:multiLevelType w:val="hybridMultilevel"/>
    <w:tmpl w:val="BCF244A6"/>
    <w:lvl w:ilvl="0" w:tplc="DB2E0E0A">
      <w:start w:val="1"/>
      <w:numFmt w:val="bullet"/>
      <w:lvlText w:val="-"/>
      <w:lvlJc w:val="left"/>
      <w:pPr>
        <w:ind w:left="360" w:hanging="360"/>
      </w:pPr>
      <w:rPr>
        <w:rFonts w:ascii="Corbel" w:eastAsiaTheme="minorEastAsia" w:hAnsi="Corbel"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800AACC"/>
    <w:multiLevelType w:val="hybridMultilevel"/>
    <w:tmpl w:val="06262A6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9665B25"/>
    <w:multiLevelType w:val="hybridMultilevel"/>
    <w:tmpl w:val="753C0318"/>
    <w:lvl w:ilvl="0" w:tplc="C2247B24">
      <w:start w:val="2"/>
      <w:numFmt w:val="bullet"/>
      <w:lvlText w:val="-"/>
      <w:lvlJc w:val="left"/>
      <w:pPr>
        <w:ind w:left="1080" w:hanging="720"/>
      </w:pPr>
      <w:rPr>
        <w:rFonts w:ascii="Corbel" w:eastAsiaTheme="minorEastAsia" w:hAnsi="Corbel" w:cs="Times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DFE2B7A"/>
    <w:multiLevelType w:val="hybridMultilevel"/>
    <w:tmpl w:val="53240AEA"/>
    <w:lvl w:ilvl="0" w:tplc="041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A160F62"/>
    <w:multiLevelType w:val="hybridMultilevel"/>
    <w:tmpl w:val="A364A27E"/>
    <w:lvl w:ilvl="0" w:tplc="C2247B24">
      <w:start w:val="2"/>
      <w:numFmt w:val="bullet"/>
      <w:lvlText w:val="-"/>
      <w:lvlJc w:val="left"/>
      <w:pPr>
        <w:ind w:left="1080" w:hanging="720"/>
      </w:pPr>
      <w:rPr>
        <w:rFonts w:ascii="Corbel" w:eastAsiaTheme="minorEastAsia" w:hAnsi="Corbel" w:cs="Times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522E2F"/>
    <w:multiLevelType w:val="hybridMultilevel"/>
    <w:tmpl w:val="0B54188A"/>
    <w:lvl w:ilvl="0" w:tplc="10CEF2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BC8F13"/>
    <w:multiLevelType w:val="hybridMultilevel"/>
    <w:tmpl w:val="90415BA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A4D13D5"/>
    <w:multiLevelType w:val="hybridMultilevel"/>
    <w:tmpl w:val="B7C6DCD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B37072D"/>
    <w:multiLevelType w:val="hybridMultilevel"/>
    <w:tmpl w:val="65504968"/>
    <w:lvl w:ilvl="0" w:tplc="B666E10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D386EAE"/>
    <w:multiLevelType w:val="hybridMultilevel"/>
    <w:tmpl w:val="8F0C328C"/>
    <w:lvl w:ilvl="0" w:tplc="9A1CA23A">
      <w:start w:val="1"/>
      <w:numFmt w:val="upperRoman"/>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F611A76"/>
    <w:multiLevelType w:val="hybridMultilevel"/>
    <w:tmpl w:val="A80097B0"/>
    <w:lvl w:ilvl="0" w:tplc="C2247B24">
      <w:start w:val="2"/>
      <w:numFmt w:val="bullet"/>
      <w:lvlText w:val="-"/>
      <w:lvlJc w:val="left"/>
      <w:pPr>
        <w:ind w:left="1080" w:hanging="720"/>
      </w:pPr>
      <w:rPr>
        <w:rFonts w:ascii="Corbel" w:eastAsiaTheme="minorEastAsia" w:hAnsi="Corbel" w:cs="Times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24AC4F8"/>
    <w:multiLevelType w:val="hybridMultilevel"/>
    <w:tmpl w:val="0BC5B20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2F20C4B"/>
    <w:multiLevelType w:val="hybridMultilevel"/>
    <w:tmpl w:val="43D47640"/>
    <w:lvl w:ilvl="0" w:tplc="6374D198">
      <w:start w:val="1"/>
      <w:numFmt w:val="upperRoman"/>
      <w:lvlText w:val="%1."/>
      <w:lvlJc w:val="left"/>
      <w:pPr>
        <w:ind w:left="1004"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BAF33C9"/>
    <w:multiLevelType w:val="hybridMultilevel"/>
    <w:tmpl w:val="C644AD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430248"/>
    <w:multiLevelType w:val="hybridMultilevel"/>
    <w:tmpl w:val="C758A5B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DE91B5C"/>
    <w:multiLevelType w:val="hybridMultilevel"/>
    <w:tmpl w:val="ED5C86CC"/>
    <w:lvl w:ilvl="0" w:tplc="DB2E0E0A">
      <w:start w:val="1"/>
      <w:numFmt w:val="bullet"/>
      <w:lvlText w:val="-"/>
      <w:lvlJc w:val="left"/>
      <w:pPr>
        <w:ind w:left="360" w:hanging="360"/>
      </w:pPr>
      <w:rPr>
        <w:rFonts w:ascii="Corbel" w:eastAsiaTheme="minorEastAsia" w:hAnsi="Corbel" w:cs="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16cid:durableId="1091391295">
    <w:abstractNumId w:val="28"/>
  </w:num>
  <w:num w:numId="2" w16cid:durableId="1279920378">
    <w:abstractNumId w:val="20"/>
  </w:num>
  <w:num w:numId="3" w16cid:durableId="517813231">
    <w:abstractNumId w:val="10"/>
  </w:num>
  <w:num w:numId="4" w16cid:durableId="2135713439">
    <w:abstractNumId w:val="21"/>
  </w:num>
  <w:num w:numId="5" w16cid:durableId="1854151138">
    <w:abstractNumId w:val="1"/>
  </w:num>
  <w:num w:numId="6" w16cid:durableId="382994518">
    <w:abstractNumId w:val="2"/>
  </w:num>
  <w:num w:numId="7" w16cid:durableId="839736429">
    <w:abstractNumId w:val="11"/>
  </w:num>
  <w:num w:numId="8" w16cid:durableId="1105615322">
    <w:abstractNumId w:val="3"/>
  </w:num>
  <w:num w:numId="9" w16cid:durableId="93596176">
    <w:abstractNumId w:val="0"/>
  </w:num>
  <w:num w:numId="10" w16cid:durableId="2003314539">
    <w:abstractNumId w:val="15"/>
  </w:num>
  <w:num w:numId="11" w16cid:durableId="892691079">
    <w:abstractNumId w:val="4"/>
  </w:num>
  <w:num w:numId="12" w16cid:durableId="1206329371">
    <w:abstractNumId w:val="25"/>
  </w:num>
  <w:num w:numId="13" w16cid:durableId="919873990">
    <w:abstractNumId w:val="17"/>
  </w:num>
  <w:num w:numId="14" w16cid:durableId="1160660861">
    <w:abstractNumId w:val="12"/>
  </w:num>
  <w:num w:numId="15" w16cid:durableId="558437800">
    <w:abstractNumId w:val="6"/>
  </w:num>
  <w:num w:numId="16" w16cid:durableId="923994543">
    <w:abstractNumId w:val="22"/>
  </w:num>
  <w:num w:numId="17" w16cid:durableId="1708065301">
    <w:abstractNumId w:val="23"/>
  </w:num>
  <w:num w:numId="18" w16cid:durableId="2108035113">
    <w:abstractNumId w:val="29"/>
  </w:num>
  <w:num w:numId="19" w16cid:durableId="1502544456">
    <w:abstractNumId w:val="14"/>
  </w:num>
  <w:num w:numId="20" w16cid:durableId="735588830">
    <w:abstractNumId w:val="26"/>
  </w:num>
  <w:num w:numId="21" w16cid:durableId="417752205">
    <w:abstractNumId w:val="7"/>
  </w:num>
  <w:num w:numId="22" w16cid:durableId="1151101245">
    <w:abstractNumId w:val="16"/>
  </w:num>
  <w:num w:numId="23" w16cid:durableId="1435440194">
    <w:abstractNumId w:val="5"/>
  </w:num>
  <w:num w:numId="24" w16cid:durableId="521632544">
    <w:abstractNumId w:val="18"/>
  </w:num>
  <w:num w:numId="25" w16cid:durableId="1419519085">
    <w:abstractNumId w:val="9"/>
  </w:num>
  <w:num w:numId="26" w16cid:durableId="17973936">
    <w:abstractNumId w:val="24"/>
  </w:num>
  <w:num w:numId="27" w16cid:durableId="14155931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6672841">
    <w:abstractNumId w:val="8"/>
  </w:num>
  <w:num w:numId="29" w16cid:durableId="1909027785">
    <w:abstractNumId w:val="27"/>
  </w:num>
  <w:num w:numId="30" w16cid:durableId="92376129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41F"/>
    <w:rsid w:val="00160BE2"/>
    <w:rsid w:val="00380995"/>
    <w:rsid w:val="004D5A0E"/>
    <w:rsid w:val="005C341F"/>
    <w:rsid w:val="0098662C"/>
    <w:rsid w:val="00C0561F"/>
    <w:rsid w:val="00CF6D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D60C4F"/>
  <w15:docId w15:val="{1BEF378B-E4E1-47E2-A34C-9E3BB3C2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imes New" w:hAnsi="Times New" w:cs="Times New"/>
      <w:color w:val="000000"/>
      <w:sz w:val="24"/>
      <w:szCs w:val="24"/>
    </w:rPr>
  </w:style>
  <w:style w:type="paragraph" w:customStyle="1" w:styleId="CM1">
    <w:name w:val="CM1"/>
    <w:basedOn w:val="Default"/>
    <w:next w:val="Default"/>
    <w:uiPriority w:val="99"/>
    <w:pPr>
      <w:spacing w:line="276" w:lineRule="atLeast"/>
    </w:pPr>
    <w:rPr>
      <w:rFonts w:cstheme="minorBidi"/>
      <w:color w:val="auto"/>
    </w:rPr>
  </w:style>
  <w:style w:type="paragraph" w:customStyle="1" w:styleId="CM11">
    <w:name w:val="CM11"/>
    <w:basedOn w:val="Default"/>
    <w:next w:val="Default"/>
    <w:uiPriority w:val="99"/>
    <w:rPr>
      <w:rFonts w:cstheme="minorBidi"/>
      <w:color w:val="auto"/>
    </w:rPr>
  </w:style>
  <w:style w:type="paragraph" w:customStyle="1" w:styleId="CM2">
    <w:name w:val="CM2"/>
    <w:basedOn w:val="Default"/>
    <w:next w:val="Default"/>
    <w:uiPriority w:val="99"/>
    <w:pPr>
      <w:spacing w:line="276" w:lineRule="atLeast"/>
    </w:pPr>
    <w:rPr>
      <w:rFonts w:cstheme="minorBidi"/>
      <w:color w:val="auto"/>
    </w:rPr>
  </w:style>
  <w:style w:type="paragraph" w:customStyle="1" w:styleId="CM12">
    <w:name w:val="CM12"/>
    <w:basedOn w:val="Default"/>
    <w:next w:val="Default"/>
    <w:uiPriority w:val="99"/>
    <w:rPr>
      <w:rFonts w:cstheme="minorBidi"/>
      <w:color w:val="auto"/>
    </w:rPr>
  </w:style>
  <w:style w:type="paragraph" w:customStyle="1" w:styleId="CM13">
    <w:name w:val="CM13"/>
    <w:basedOn w:val="Default"/>
    <w:next w:val="Default"/>
    <w:uiPriority w:val="99"/>
    <w:rPr>
      <w:rFonts w:cstheme="minorBidi"/>
      <w:color w:val="auto"/>
    </w:rPr>
  </w:style>
  <w:style w:type="paragraph" w:customStyle="1" w:styleId="CM4">
    <w:name w:val="CM4"/>
    <w:basedOn w:val="Default"/>
    <w:next w:val="Default"/>
    <w:uiPriority w:val="99"/>
    <w:pPr>
      <w:spacing w:line="278" w:lineRule="atLeast"/>
    </w:pPr>
    <w:rPr>
      <w:rFonts w:cstheme="minorBidi"/>
      <w:color w:val="auto"/>
    </w:rPr>
  </w:style>
  <w:style w:type="paragraph" w:customStyle="1" w:styleId="CM6">
    <w:name w:val="CM6"/>
    <w:basedOn w:val="Default"/>
    <w:next w:val="Default"/>
    <w:uiPriority w:val="99"/>
    <w:pPr>
      <w:spacing w:line="276" w:lineRule="atLeast"/>
    </w:pPr>
    <w:rPr>
      <w:rFonts w:cstheme="minorBidi"/>
      <w:color w:val="auto"/>
    </w:rPr>
  </w:style>
  <w:style w:type="paragraph" w:customStyle="1" w:styleId="CM7">
    <w:name w:val="CM7"/>
    <w:basedOn w:val="Default"/>
    <w:next w:val="Default"/>
    <w:uiPriority w:val="99"/>
    <w:rPr>
      <w:rFonts w:cstheme="minorBidi"/>
      <w:color w:val="auto"/>
    </w:rPr>
  </w:style>
  <w:style w:type="paragraph" w:customStyle="1" w:styleId="CM14">
    <w:name w:val="CM14"/>
    <w:basedOn w:val="Default"/>
    <w:next w:val="Default"/>
    <w:uiPriority w:val="99"/>
    <w:rPr>
      <w:rFonts w:cstheme="minorBidi"/>
      <w:color w:val="auto"/>
    </w:rPr>
  </w:style>
  <w:style w:type="paragraph" w:customStyle="1" w:styleId="CM10">
    <w:name w:val="CM10"/>
    <w:basedOn w:val="Default"/>
    <w:next w:val="Default"/>
    <w:uiPriority w:val="99"/>
    <w:pPr>
      <w:spacing w:line="286" w:lineRule="atLeast"/>
    </w:pPr>
    <w:rPr>
      <w:rFonts w:cstheme="minorBidi"/>
      <w:color w:val="auto"/>
    </w:rPr>
  </w:style>
  <w:style w:type="table" w:styleId="Reetkatablice">
    <w:name w:val="Table Grid"/>
    <w:basedOn w:val="Obinatablic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Pr>
      <w:rFonts w:ascii="Segoe UI" w:hAnsi="Segoe UI" w:cs="Segoe UI"/>
      <w:sz w:val="18"/>
      <w:szCs w:val="18"/>
    </w:rPr>
  </w:style>
  <w:style w:type="paragraph" w:styleId="Zaglavlje">
    <w:name w:val="header"/>
    <w:basedOn w:val="Normal"/>
    <w:link w:val="ZaglavljeChar"/>
    <w:uiPriority w:val="99"/>
    <w:unhideWhenUsed/>
    <w:pPr>
      <w:tabs>
        <w:tab w:val="center" w:pos="4536"/>
        <w:tab w:val="right" w:pos="9072"/>
      </w:tabs>
      <w:spacing w:after="0" w:line="240" w:lineRule="auto"/>
    </w:pPr>
  </w:style>
  <w:style w:type="character" w:customStyle="1" w:styleId="ZaglavljeChar">
    <w:name w:val="Zaglavlje Char"/>
    <w:basedOn w:val="Zadanifontodlomka"/>
    <w:link w:val="Zaglavlje"/>
    <w:uiPriority w:val="99"/>
  </w:style>
  <w:style w:type="paragraph" w:styleId="Podnoje">
    <w:name w:val="footer"/>
    <w:basedOn w:val="Normal"/>
    <w:link w:val="PodnojeChar"/>
    <w:uiPriority w:val="99"/>
    <w:unhideWhenUsed/>
    <w:pPr>
      <w:tabs>
        <w:tab w:val="center" w:pos="4536"/>
        <w:tab w:val="right" w:pos="9072"/>
      </w:tabs>
      <w:spacing w:after="0" w:line="240" w:lineRule="auto"/>
    </w:pPr>
  </w:style>
  <w:style w:type="character" w:customStyle="1" w:styleId="PodnojeChar">
    <w:name w:val="Podnožje Char"/>
    <w:basedOn w:val="Zadanifontodlomka"/>
    <w:link w:val="Podnoje"/>
    <w:uiPriority w:val="99"/>
  </w:style>
  <w:style w:type="paragraph" w:styleId="Odlomakpopisa">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0E40BC-F63D-4551-9C3F-F82A0DB76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1781</Words>
  <Characters>10157</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1.pdf</vt:lpstr>
    </vt:vector>
  </TitlesOfParts>
  <Company>Grizli777</Company>
  <LinksUpToDate>false</LinksUpToDate>
  <CharactersWithSpaces>11915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1.pdf</dc:title>
  <dc:creator>dhrastic</dc:creator>
  <cp:lastModifiedBy>Neven Matuč</cp:lastModifiedBy>
  <cp:revision>2</cp:revision>
  <cp:lastPrinted>2021-11-29T06:38:00Z</cp:lastPrinted>
  <dcterms:created xsi:type="dcterms:W3CDTF">2022-11-16T13:38:00Z</dcterms:created>
  <dcterms:modified xsi:type="dcterms:W3CDTF">2022-11-16T13:38:00Z</dcterms:modified>
</cp:coreProperties>
</file>